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AC2BC1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20:48:07:49.  Distance education programs.</w:t>
      </w:r>
      <w:r>
        <w:rPr>
          <w:rFonts w:ascii="Times New Roman" w:hAnsi="Times New Roman"/>
          <w:sz w:val="24"/>
        </w:rPr>
        <w:t xml:space="preserve"> Delivery of instruction by distance education methods must be congruent with the nursing program curriculum plan and enable students to achieve program outcomes in accordance with § 20:48:07:28. A distance education program that meets the following requirements may be incorporated into a nursing program curriculum: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Has a means for assessing individual student outcomes and program outcomes;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Is approved by the agency regulating nurses in the jurisdiction of origination;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Complies with the regulatory requirements in each state that the program is being offered;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</w:t>
      </w:r>
      <w:r>
        <w:rPr>
          <w:rFonts w:ascii="Times New Roman" w:hAnsi="Times New Roman"/>
          <w:sz w:val="24"/>
        </w:rPr>
        <w:t>Requires each faculty member to be licensed as a registered nurse in the state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of South Dakota or have privilege to practice when teaching didactic and clinical nursing education to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practical nursing students or registered nursing students who are physically located in the state of South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Dakota. For programs offering advanced practice nursing education, requires each faculty member to be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licensed as an advanced practice registered nurse in the state of South Dakota or have privilege to practice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when teaching advanced practice nursing students who are physically located in South Dakota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Provides student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</w:rPr>
        <w:t xml:space="preserve"> with adequate clinical instruction to meet program outcomes;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Provides adequate technical support and assistance to students and faculty;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Provides for student access to faculty members and resources;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Assures security of the student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  <w:lang w:val="en-US" w:bidi="en-US" w:eastAsia="en-US"/>
        </w:rPr>
        <w:t>'</w:t>
      </w:r>
      <w:r>
        <w:rPr>
          <w:rFonts w:ascii="Times New Roman" w:hAnsi="Times New Roman"/>
          <w:sz w:val="24"/>
        </w:rPr>
        <w:t xml:space="preserve"> personal information in conducting assessments and evaluations and in disseminating the results of distance learning courses;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  Assures the integrity of student 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31 SDR 26, effective September 8, 2004</w:t>
      </w:r>
      <w:r>
        <w:rPr>
          <w:rFonts w:ascii="Times New Roman" w:hAnsi="Times New Roman"/>
          <w:sz w:val="24"/>
        </w:rPr>
        <w:t>; 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36-9-21(</w:t>
      </w:r>
      <w:r>
        <w:rPr>
          <w:rFonts w:ascii="Times New Roman" w:hAnsi="Times New Roman"/>
          <w:sz w:val="24"/>
          <w:lang w:val="en-US" w:bidi="en-US" w:eastAsia="en-US"/>
        </w:rPr>
        <w:t>8</w:t>
      </w:r>
      <w:r>
        <w:rPr>
          <w:rFonts w:ascii="Times New Roman" w:hAnsi="Times New Roman"/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36-9-58.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er"/>
    <w:basedOn w:val="P0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semiHidden/>
    <w:rPr/>
  </w:style>
  <w:style w:type="character" w:styleId="C4">
    <w:name w:val="Footer Char"/>
    <w:basedOn w:val="C0"/>
    <w:link w:val="P2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