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F7CEE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50</w:t>
      </w:r>
      <w:r>
        <w:rPr>
          <w:rFonts w:ascii="Times New Roman" w:hAnsi="Times New Roman"/>
          <w:b w:val="1"/>
          <w:sz w:val="24"/>
        </w:rPr>
        <w:t>.  Simulation.</w:t>
      </w:r>
      <w:r>
        <w:rPr>
          <w:rFonts w:ascii="Times New Roman" w:hAnsi="Times New Roman"/>
          <w:sz w:val="24"/>
        </w:rPr>
        <w:t xml:space="preserve"> A nursing education program may use simulation as a substitute for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traditional clinical experiences, not to exceed fifty percent of the total program clinical hours. A program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that uses simulation shall provide evidence that the following standards have been met: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Faculty involved in simulations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both didactic and clinical, shall have training in the use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simulation and shall engage in on-going professional development in the use of simulation;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program shall demonstrate that the simulation activities are linked to programmatic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outcomes;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program shall have written policies and procedures on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Short-term and long-term plans for integrating simulation into the curriculum;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Method of debriefing each simulated activity;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(c)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Plan for orienting faculty to simulation;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program shall develop criteria to evaluate the simulation activities that includes ongoing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evaluation by students;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program shall include information about its use of simulation in its annual report to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Board of Nursing.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45 SDR 9, effective July 30,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36-9-21(8).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36-9-58,36-9A-5, 36-9A-21.1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