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289B4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20:62:02:09.  Reactivation of inactive license.</w:t>
      </w:r>
      <w:r>
        <w:rPr>
          <w:rFonts w:ascii="Times New Roman" w:hAnsi="Times New Roman"/>
          <w:sz w:val="24"/>
        </w:rPr>
        <w:t xml:space="preserve"> The holder of an inactive license may reactivate the license by filing an application with the Board of Nursing. The applicant must submit written evidence of current certification </w:t>
      </w:r>
      <w:r>
        <w:rPr>
          <w:rFonts w:ascii="Times New Roman" w:hAnsi="Times New Roman"/>
          <w:sz w:val="24"/>
          <w:lang w:val="en-US" w:bidi="en-US" w:eastAsia="en-US"/>
        </w:rPr>
        <w:t xml:space="preserve">as set forth in subdivision </w:t>
      </w:r>
      <w:r>
        <w:rPr>
          <w:rFonts w:ascii="Times New Roman" w:hAnsi="Times New Roman"/>
          <w:sz w:val="24"/>
        </w:rPr>
        <w:t>20:62:02:0</w:t>
      </w:r>
      <w:r>
        <w:rPr>
          <w:rFonts w:ascii="Times New Roman" w:hAnsi="Times New Roman"/>
          <w:sz w:val="24"/>
          <w:lang w:val="en-US" w:bidi="en-US" w:eastAsia="en-US"/>
        </w:rPr>
        <w:t>2(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, an affidavit that the applicant has committed no act of misconduct as set forth in SDCL 36-9A-29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evidence of holding an unencumbered South Dakota registered nurse license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privilege to practice, and</w:t>
      </w:r>
      <w:r>
        <w:rPr>
          <w:rFonts w:ascii="Times New Roman" w:hAnsi="Times New Roman"/>
          <w:sz w:val="24"/>
        </w:rPr>
        <w:t xml:space="preserve"> the renewal fee required by subdivision 20:62:01:11(3) for the current biennial period.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126, effective April 13, 1983; 12 SDR 151, 12 SDR 155, effective July 1, 1986; 22 SDR 179, effective June 26, 1996; 26 SDR 67, effective November 21, 1999; 43 SDR 57, effective October 20, 2016</w:t>
      </w:r>
      <w:r>
        <w:rPr>
          <w:rFonts w:ascii="Times New Roman" w:hAnsi="Times New Roman"/>
          <w:sz w:val="24"/>
        </w:rPr>
        <w:t>; 45 SDR 9, effective July 30, 2018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36-9A-41.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 xml:space="preserve">36-9A-25, 36-9A-26, 36-9A-29, </w:t>
      </w:r>
      <w:r>
        <w:rPr>
          <w:rFonts w:ascii="Times New Roman" w:hAnsi="Times New Roman"/>
          <w:sz w:val="24"/>
        </w:rPr>
        <w:t>36-9A-35, 36-9A-36.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