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.  Prescribing.</w:t>
      </w:r>
      <w:r>
        <w:rPr>
          <w:rFonts w:ascii="Times New Roman" w:hAnsi="Times New Roman"/>
          <w:sz w:val="24"/>
        </w:rPr>
        <w:t xml:space="preserve"> A nurse practitioner or nurse midwife may request, receive,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provide prepackaged drug samples which the nurse practitioner or nurse midwife is authorized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prescribe. A drug sample means a prepackaged unit of a prescription drug supplied by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manufacturer and provided at no charge to the patient. A nurse practitioner or nurse midwife may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provide prepackaged, labeled drug samples to the nurse practitioner's or nurse midwife's patients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 conditions being treated by the nurse practitioner or nurse midwife. Each sample drug shall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be accompanied by written administration instructions.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Prior to prescribing any controlled substances listed in SDCL chapter 34-20B, a nurse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practitioner or nurse midwife, that meets state and federal controlled substance registration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requirements, shall register with the state's prescription drug monitoring program (PDMP)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meet requirements in</w:t>
      </w:r>
      <w:r>
        <w:rPr>
          <w:rFonts w:ascii="Times New Roman" w:hAnsi="Times New Roman"/>
          <w:sz w:val="24"/>
          <w:lang w:val="en-US" w:bidi="en-US" w:eastAsia="en-US"/>
        </w:rPr>
        <w:t xml:space="preserve"> SDCL</w:t>
      </w:r>
      <w:r>
        <w:rPr>
          <w:rFonts w:ascii="Times New Roman" w:hAnsi="Times New Roman"/>
          <w:sz w:val="24"/>
        </w:rPr>
        <w:t xml:space="preserve"> chapter 34-20E. The standards for documentation of patient care when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prescribing controlled substance drugs for the treatment of chronic, non-cancer pain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Documentation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results of physical examinations, diagnostic or laboratory tests;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Documentation of a patient's medical and psychosocial history;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Documentation that appropriate state PDMPs were accessed;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Documentation of a patient's treatment agreement, if used;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Documentation of having provided instructions to the patient, or patient's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representative, of the benefits and risks of controlled substances, proper use and storage of drugs,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proper disposal of unused drugs;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When prescribing opioid drugs, documentation of instructions including the risk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addiction, overdose, and death, and use of naloxone products to reverse overdose, as defined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SDCL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hapter 34-20A;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Progress or lack of progress of pain management and functional improvement;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Consultation with other health care providers or specialists.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34-20A, 34-20B, 34-20E, 36-9A-12, 36-9A-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3, 36-9A-29(5)(9).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2023-08-08T21:56:24Z</dcterms:created>
  <cp:lastModifiedBy>Kelly Thompson</cp:lastModifiedBy>
  <dcterms:modified xsi:type="dcterms:W3CDTF">2023-08-08T21:57:08Z</dcterms:modified>
  <cp:revision>2</cp:revision>
</cp:coreProperties>
</file>