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94A9D99" Type="http://schemas.openxmlformats.org/officeDocument/2006/relationships/officeDocument" Target="/word/document.xml" /><Relationship Id="coreR494A9D9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20:68:07:03.  Continuing education requirements.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23 SDR 8, effective July 25, 1996; 25 SDR 85, effective December 22, 1998; 30 SDR 121, effective February 17, 2004; 42 SDR 97, effective January 4, 2016</w:t>
      </w:r>
      <w:r>
        <w:rPr>
          <w:rFonts w:ascii="Times New Roman" w:hAnsi="Times New Roman"/>
          <w:sz w:val="24"/>
          <w:lang w:val="en-US" w:bidi="en-US" w:eastAsia="en-US"/>
        </w:rPr>
        <w:t>; 47 S</w:t>
      </w:r>
      <w:r>
        <w:rPr>
          <w:rFonts w:ascii="Times New Roman" w:hAnsi="Times New Roman"/>
          <w:sz w:val="24"/>
          <w:lang w:val="en-US" w:bidi="en-US" w:eastAsia="en-US"/>
        </w:rPr>
        <w:t>DR 42, effective October 14, 2020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2015-12-18T20:32:00Z</dcterms:created>
  <cp:lastModifiedBy>Rhonda Purkapile</cp:lastModifiedBy>
  <dcterms:modified xsi:type="dcterms:W3CDTF">2020-10-07T18:11:14Z</dcterms:modified>
  <cp:revision>8</cp:revision>
</cp:coreProperties>
</file>