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F2F16A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20:78:03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APPLICATION PROCEDURES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20:78:03:01</w:t>
        <w:tab/>
        <w:tab/>
        <w:t>Applicability.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20:78:03:02</w:t>
        <w:tab/>
        <w:tab/>
        <w:t>Initial review.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20:78:03:03</w:t>
        <w:tab/>
        <w:tab/>
        <w:t>Incomplete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20:78:03:04</w:t>
        <w:tab/>
        <w:tab/>
        <w:t>Primary source documentation.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20:78:03:05</w:t>
        <w:tab/>
        <w:tab/>
        <w:t>Summary action on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20:78:03:06</w:t>
        <w:tab/>
        <w:tab/>
        <w:t>Investigation of 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20:78:03:07</w:t>
        <w:tab/>
        <w:tab/>
        <w:t>Application withdrawn during investigation.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20:78:03:08</w:t>
        <w:tab/>
        <w:tab/>
        <w:t>Executive secretary determinations.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20:78:03:09</w:t>
        <w:tab/>
        <w:tab/>
        <w:t>Provisional licenses, permits or certificates issued pursuant to settlement agreement.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20:78:03:10</w:t>
        <w:tab/>
        <w:tab/>
        <w:t>Renewals and reinstatement.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20:78:03:11</w:t>
        <w:tab/>
        <w:tab/>
        <w:t>Staff approval of petition for examination waiver.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20:78:03:12</w:t>
        <w:tab/>
        <w:tab/>
        <w:t>Reciprocity.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