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.  Renewal of license.</w:t>
      </w:r>
      <w:r>
        <w:rPr>
          <w:rFonts w:ascii="Times New Roman" w:hAnsi="Times New Roman"/>
          <w:sz w:val="24"/>
        </w:rPr>
        <w:t xml:space="preserve"> A notice for renewal of license shall be sent by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board to the last known address of each current licensee. The address may either be physical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electronic. Failure to receive the notice for renewal of license does not relieve the licensee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responsibility for renewing the license and paying the renewal fee within the prescribed time.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Any fee for renewal of license delivered in person to the board or postmarked after the filing date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indicated in the notice may not be accepted, and the license is lapsed. A lapsed license may be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reinstated only in accordance with the provisions of SDCL 36-9C-17.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31, effective September 10,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-9C-32(1).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-9C-15, 3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-9C-16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Justin Goetz</cp:lastModifiedBy>
  <dcterms:modified xsi:type="dcterms:W3CDTF">2023-08-22T13:18:13Z</dcterms:modified>
  <cp:revision>7</cp:revision>
</cp:coreProperties>
</file>