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3DE5D7" Type="http://schemas.openxmlformats.org/officeDocument/2006/relationships/officeDocument" Target="/word/document.xml" /><Relationship Id="coreR253DE5D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Relicensure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 applicant may seek relicensure if the applicant has been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licensed in this state and either failed to timely renew or is seeking to return to active clinical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practice. The following shall be submitted at the time of reapplication: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completed application and the required fee;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current CPM certification from NARM;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satisfactory explanation for the failure to renew;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Evidence of employment status during the preceding six years as described in SDCL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36-9C-16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45 SDR 31, effective September 10,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36-9C-32(1).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  <w:lang w:val="en-US" w:bidi="en-US" w:eastAsia="en-US"/>
        </w:rPr>
        <w:t xml:space="preserve">-16, </w:t>
      </w:r>
      <w:r>
        <w:rPr>
          <w:rFonts w:ascii="Times New Roman" w:hAnsi="Times New Roman"/>
          <w:sz w:val="24"/>
          <w:lang w:val="en-US" w:bidi="en-US" w:eastAsia="en-US"/>
        </w:rPr>
        <w:t>36-9C-1</w:t>
      </w:r>
      <w:r>
        <w:rPr>
          <w:rFonts w:ascii="Times New Roman" w:hAnsi="Times New Roman"/>
          <w:sz w:val="24"/>
          <w:lang w:val="en-US" w:bidi="en-US" w:eastAsia="en-US"/>
        </w:rPr>
        <w:t>7, 36-9C-18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Kumpf, Kevin</dc:creator>
  <dcterms:created xsi:type="dcterms:W3CDTF">2015-11-30T21:41:00Z</dcterms:created>
  <cp:lastModifiedBy>Rhonda Purkapile</cp:lastModifiedBy>
  <dcterms:modified xsi:type="dcterms:W3CDTF">2018-08-30T19:50:27Z</dcterms:modified>
  <cp:revision>6</cp:revision>
</cp:coreProperties>
</file>