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22: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b/>
            <w:sz w:val="24"/>
          </w:rPr>
          <w:t>01:02</w:t>
        </w:r>
      </w:smartTag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CLAIMS</w:t>
      </w: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Submission of claims.</w:t>
      </w: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approval process.</w:t>
      </w: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Reasons for denial of claims.</w:t>
      </w: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Eligible pretrial expenses.</w:t>
      </w: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Eligible trial expenses after county withdrawal.</w:t>
      </w: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Ineligible expenses.</w:t>
      </w: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Trial expenses for incidents which occur before effective date of participation.</w:t>
      </w: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Fund repayment when county recovers costs.</w:t>
      </w: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58BF" w:rsidRDefault="001258BF" w:rsidP="00486D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258BF" w:rsidSect="001258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58BF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86D5B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5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22:01:02</dc:title>
  <dc:subject/>
  <dc:creator>lrpr13252</dc:creator>
  <cp:keywords/>
  <dc:description/>
  <cp:lastModifiedBy>lrpr13252</cp:lastModifiedBy>
  <cp:revision>1</cp:revision>
  <dcterms:created xsi:type="dcterms:W3CDTF">2004-07-13T15:42:00Z</dcterms:created>
  <dcterms:modified xsi:type="dcterms:W3CDTF">2004-07-13T15:43:00Z</dcterms:modified>
</cp:coreProperties>
</file>