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4107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.  Endorsements requiring pedagogy test, and content test or major.</w:t>
      </w:r>
      <w:r>
        <w:rPr>
          <w:rFonts w:ascii="Times New Roman" w:hAnsi="Times New Roman"/>
          <w:sz w:val="24"/>
        </w:rPr>
        <w:t xml:space="preserve"> For an individual who has completed an elementary preparation program, each of the endorsements listed in this section requires passage of the state-designated content test or a major in content. The endorsements are: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intermediate English language arts;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drama and theater;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mass communications;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intermediate math;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mathematics;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intermediate science;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biology;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chemistry;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physics;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physical science;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earth science;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intermediate social science;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history;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political science;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advanced geography;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economics;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sociology;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psychology;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art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health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physical education;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music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Effective July 1, 2019, passage of the state-de</w:t>
      </w:r>
      <w:r>
        <w:rPr>
          <w:rFonts w:ascii="Times New Roman" w:hAnsi="Times New Roman"/>
          <w:sz w:val="24"/>
          <w:lang w:val="en-US" w:bidi="en-US" w:eastAsia="en-US"/>
        </w:rPr>
        <w:t>signated pedagogy test is also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