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E25674" Type="http://schemas.openxmlformats.org/officeDocument/2006/relationships/officeDocument" Target="/word/document.xml" /><Relationship Id="coreR3DE256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21</w:t>
      </w:r>
      <w:r>
        <w:rPr>
          <w:rFonts w:ascii="Times New Roman" w:hAnsi="Times New Roman"/>
          <w:b w:val="1"/>
          <w:sz w:val="24"/>
        </w:rPr>
        <w:t>.  Endorsements requiring pedagogy test, career and technical education (CTE) methods course, and content test, coursework, or work experience.</w:t>
      </w:r>
      <w:r>
        <w:rPr>
          <w:rFonts w:ascii="Times New Roman" w:hAnsi="Times New Roman"/>
          <w:sz w:val="24"/>
        </w:rPr>
        <w:t xml:space="preserve"> For an individual who has completed an elementary preparation program, each of the endorsements listed in this section requires completion of a two-credit CTE methods course. Each endorsement also requires one of the following: passage of the state-designated content test, completion of state-designated coursework, or 4,000 hours of validated work experience in a related field within the previous five years. The endorsements are: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Education and training career cluster;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Food products and processing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Plant systems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Animal systems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Power structural and technical systems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Agribusiness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Business marketing and management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Sales, merchandising, and marketing research support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Welding and precision machining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Accounting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Banking services and business finance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Insurance, securities, and investments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Restaurant and food service management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Travel and tourism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Early childhood development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Consumer services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Programming and software development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Web and digital communications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Networking systems and information support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Design and pre-construction career pathway;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(21)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Construction career pathway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(22)  Government and public administration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Effective July 1, 2019, passage of the state-designated pedagogy test is also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</w:rPr>
        <w:t>; 45 SDR 35, effective September 19,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2018-09-13T19:04:22Z</dcterms:created>
  <cp:lastModifiedBy>Rhonda Purkapile</cp:lastModifiedBy>
  <dcterms:modified xsi:type="dcterms:W3CDTF">2018-09-13T19:05:36Z</dcterms:modified>
  <cp:revision>2</cp:revision>
</cp:coreProperties>
</file>