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24:52:06:07.  Appeal to board.</w:t>
      </w:r>
      <w:r>
        <w:rPr>
          <w:rFonts w:ascii="Times New Roman" w:hAnsi="Times New Roman"/>
          <w:sz w:val="24"/>
        </w:rPr>
        <w:t xml:space="preserve"> For six months following the date of listing or removal of a property on the state register any person may appeal the listing or removal to the board. After hearing an appeal,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take one of the following actions: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Confirm that the property meets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and uphold the listing of the property;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Request additional information relating to the significance of or process for listing the property and establish a schedule and a procedure for a decision to remove or continue listing of the property;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Decide that the property does not meet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and approve removal of the property from the state register; or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Refer the nomination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department of the in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or as a nomination to the national register.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892C35" w:rsidRDefault="00892C35" w:rsidP="00E9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2C35" w:rsidSect="00892C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92C35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9171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2004-07-20T17:02:00Z</dcterms:created>
  <dcterms:modified xsi:type="dcterms:W3CDTF">2004-07-20T17:02:00Z</dcterms:modified>
</cp:coreProperties>
</file>