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EA8EFF" Type="http://schemas.openxmlformats.org/officeDocument/2006/relationships/officeDocument" Target="/word/document.xml" /><Relationship Id="coreR5CEA8E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41:07:01:07.02.  Gifting of fish allowed -- Conditions.</w:t>
      </w:r>
      <w:r>
        <w:rPr>
          <w:rFonts w:ascii="Times New Roman" w:hAnsi="Times New Roman"/>
          <w:sz w:val="24"/>
        </w:rPr>
        <w:t xml:space="preserve"> A licensee may gift fish, or any part thereof, to another person if</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fish was lawfully taken, caught, or killed;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number or amount of fish gifted does not place the recipient in violation of any season, daily, or possession limit established for the species of fish being gifted.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If gifting to an unlicensed person, the licensee shall gift the fish at the domicile of the recipient. For the purpose of this section, the term, gift, means the voluntary transfer of fish from any person to another person made without fee or consideration.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35 SDR 47, effective September 8, 2008</w:t>
      </w:r>
      <w:r>
        <w:rPr>
          <w:rFonts w:ascii="Times New Roman" w:hAnsi="Times New Roman"/>
          <w:sz w:val="24"/>
        </w:rPr>
        <w:t>; 46 SDR 116, effective April 29,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2008-09-05T22:31:00Z</dcterms:created>
  <cp:lastModifiedBy>Rhonda Purkapile</cp:lastModifiedBy>
  <dcterms:modified xsi:type="dcterms:W3CDTF">2020-04-22T17:21:40Z</dcterms:modified>
  <cp:revision>4</cp:revision>
</cp:coreProperties>
</file>