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AED707" Type="http://schemas.openxmlformats.org/officeDocument/2006/relationships/officeDocument" Target="/word/document.xml" /><Relationship Id="coreR51AED7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44:70:09:07.  Choice in planning care.</w:t>
      </w:r>
      <w:r>
        <w:rPr>
          <w:rFonts w:ascii="Times New Roman" w:hAnsi="Times New Roman"/>
          <w:sz w:val="24"/>
        </w:rPr>
        <w:t xml:space="preserve"> A resident may choose a personal attending physician, physician assistant, or nurse practitioner, be fully informed in advance about care and treatment and of any changes in that care or treatment that may affect the resident's well-being, and</w:t>
      </w:r>
      <w:r>
        <w:rPr>
          <w:rFonts w:ascii="Times New Roman" w:hAnsi="Times New Roman"/>
          <w:sz w:val="24"/>
        </w:rPr>
        <w:t xml:space="preserve"> participate in planning care and treatment or changes in care or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115, effective January 9, 2012</w:t>
      </w:r>
      <w:r>
        <w:rPr>
          <w:rFonts w:ascii="Times New Roman" w:hAnsi="Times New Roman"/>
          <w:sz w:val="24"/>
        </w:rPr>
        <w:t>; 46 SDR 65, effective November 26, 2019</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b w:val="1"/>
          <w:sz w:val="24"/>
        </w:rPr>
      </w:pPr>
      <w:r>
        <w:rPr>
          <w:rFonts w:ascii="Times New Roman" w:hAnsi="Times New Roman"/>
          <w:sz w:val="24"/>
        </w:rPr>
        <w:tab/>
      </w:r>
      <w:r>
        <w:rPr>
          <w:rFonts w:ascii="Times New Roman" w:hAnsi="Times New Roman"/>
          <w:b w:val="1"/>
          <w:sz w:val="24"/>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Right to choose own physician, physician assistant, or nurse practitioner unimpaired by public health programs -- Misdemeanor, SDCL 34-1-20.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Rights of authorized person as incapacitated person, SDCL 34-12C-6.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Liability of health care provider -- Liability of authorized decision make</w:t>
      </w:r>
      <w:r>
        <w:rPr>
          <w:rFonts w:ascii="Times New Roman" w:hAnsi="Times New Roman"/>
          <w:sz w:val="24"/>
          <w:lang w:val="en-US" w:bidi="en-US" w:eastAsia="en-US"/>
        </w:rPr>
        <w:t>r</w:t>
      </w:r>
      <w:r>
        <w:rPr>
          <w:rFonts w:ascii="Times New Roman" w:hAnsi="Times New Roman"/>
          <w:sz w:val="24"/>
        </w:rPr>
        <w:t>, SDCL 34-12C-7.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2012-01-09T22:41:00Z</dcterms:created>
  <cp:lastModifiedBy>Rhonda Purkapile</cp:lastModifiedBy>
  <dcterms:modified xsi:type="dcterms:W3CDTF">2019-11-22T19:59:45Z</dcterms:modified>
  <cp:revision>3</cp:revision>
</cp:coreProperties>
</file>