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90793E" Type="http://schemas.openxmlformats.org/officeDocument/2006/relationships/officeDocument" Target="/word/document.xml" /><Relationship Id="coreR1B90793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55:09:04:02.  Sick leave.</w:t>
      </w:r>
      <w:r>
        <w:t xml:space="preserve"> Sick leave with pay shall be accrued each semimonthly pay period in equal increments to the maximum specified in SDCL 3-6C-7. An employee paid monthly shall accumulate sick leave at a rate of 9.334 hours per month. An employee who works less than full time shall accrue prorated sick leave based on the number of hours paid in the pay period.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Sick leave may be granted for </w:t>
      </w:r>
      <w:r>
        <w:rPr>
          <w:lang w:val="en-US" w:bidi="en-US" w:eastAsia="en-US"/>
        </w:rPr>
        <w:t xml:space="preserve">the illness, health care needs, or temporary care of the employee, the employee's immediate family, or a person for whom the employee is the legal guardian. An </w:t>
      </w:r>
      <w:r>
        <w:rPr>
          <w:lang w:val="en-US" w:bidi="en-US" w:eastAsia="en-US"/>
        </w:rPr>
        <w:t>employee may use up to five days of sick leave, as bereavement leave, for the loss of an immediate family member</w:t>
      </w:r>
      <w:r>
        <w:t>. An employee who is on approved leave, except terminal vacation leave, and becomes injured or ill may use sick leave.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The appointing authority may, with the approval of the commissioner, require the employee to produce a doctor's statement to support a request for sick leave.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39 SDR 99, effective December 3, 2012</w:t>
      </w:r>
      <w:r>
        <w:rPr>
          <w:rFonts w:ascii="Times New Roman" w:hAnsi="Times New Roman"/>
          <w:sz w:val="24"/>
        </w:rPr>
        <w:t>; 44 SDR 99, effective December 11, 2017</w:t>
      </w:r>
      <w:r>
        <w:t>; 46 SDR 146, effective July 1, 2020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3-6C-7, 3-6C-18.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3-6C-7, 3-6C-18.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2020-06-17T16:59:22Z</dcterms:created>
  <cp:lastModifiedBy>Rhonda Purkapile</cp:lastModifiedBy>
  <dcterms:modified xsi:type="dcterms:W3CDTF">2020-06-17T17:02:49Z</dcterms:modified>
  <cp:revision>2</cp:revision>
</cp:coreProperties>
</file>