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D0EE43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61:15:01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FIRE SAFETY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61:15:01:01</w:t>
        <w:tab/>
        <w:tab/>
        <w:t>Conformity with national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61:15:01:02</w:t>
        <w:tab/>
        <w:tab/>
        <w:t xml:space="preserve">Deletions from the </w:t>
      </w:r>
      <w:r>
        <w:rPr>
          <w:b w:val="1"/>
        </w:rPr>
        <w:t>International Fire Code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61:15:01:03</w:t>
        <w:tab/>
        <w:tab/>
        <w:t xml:space="preserve">Deletions from the </w:t>
      </w:r>
      <w:r>
        <w:rPr>
          <w:b w:val="1"/>
        </w:rPr>
        <w:t>International</w:t>
      </w:r>
      <w:r>
        <w:t xml:space="preserve"> </w:t>
      </w:r>
      <w:r>
        <w:rPr>
          <w:b w:val="1"/>
        </w:rPr>
        <w:t>Building Code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61:15:01:04</w:t>
        <w:tab/>
        <w:tab/>
        <w:t xml:space="preserve">Amendments to the </w:t>
      </w:r>
      <w:r>
        <w:rPr>
          <w:b w:val="1"/>
        </w:rPr>
        <w:t>International Fire Code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61:15:01:05</w:t>
        <w:tab/>
        <w:tab/>
        <w:t xml:space="preserve">Amendments to the </w:t>
      </w:r>
      <w:r>
        <w:rPr>
          <w:b w:val="1"/>
        </w:rPr>
        <w:t>International Building Code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61:15:01:06</w:t>
        <w:tab/>
        <w:tab/>
        <w:t>Fire safety for flammable liquids and liquefied petroleum gases.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61:15:01:08</w:t>
        <w:tab/>
        <w:tab/>
        <w:t>Residential flammable liquid storage tanks and liquefied petroleum gas installations.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61:15:01:09</w:t>
        <w:tab/>
        <w:tab/>
        <w:t>Maintenance of exits and emergency escapes.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61:15:01:10</w:t>
        <w:tab/>
        <w:tab/>
        <w:t>Exit requirements for existing buildings other than high-rise buildings.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61:15:01:12</w:t>
        <w:tab/>
        <w:tab/>
        <w:t>Existing fire escapes.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61:15:01:13</w:t>
        <w:tab/>
        <w:tab/>
        <w:t>The abatement of unsafe buildings or structures.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61:15:01:14</w:t>
        <w:tab/>
        <w:tab/>
        <w:t>Smoke detectors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61:15:01:15</w:t>
        <w:tab/>
        <w:tab/>
        <w:t>Smoke detectors required in multifamily residences.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61:15:01:16</w:t>
        <w:tab/>
        <w:tab/>
        <w:t>Municipal conformity.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61:15:01:17</w:t>
        <w:tab/>
        <w:tab/>
        <w:t>Egress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61:15:01:18</w:t>
        <w:tab/>
        <w:tab/>
        <w:t>Required draft stops.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61:15:01:19</w:t>
        <w:tab/>
        <w:tab/>
        <w:t>Automatic sprinkler system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