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b/>
            <w:sz w:val="24"/>
          </w:rPr>
          <w:t>02:08</w:t>
        </w:r>
      </w:smartTag>
      <w:r>
        <w:rPr>
          <w:rFonts w:ascii="Times New Roman" w:hAnsi="Times New Roman"/>
          <w:b/>
          <w:sz w:val="24"/>
        </w:rPr>
        <w:t>:07.01.  Category 3 spillway design flood exception.</w:t>
      </w:r>
      <w:r>
        <w:rPr>
          <w:rFonts w:ascii="Times New Roman" w:hAnsi="Times New Roman"/>
          <w:sz w:val="24"/>
        </w:rPr>
        <w:t xml:space="preserve"> For small size category 3 dams with an emergency spillway, the minimum spillway design flood is a 25-year frequency if the product of the intermediate storage capacity times the effective height is less than 3000. For small size category 3 dams without an emergency spillway, the spillway design flood is a 25-year frequency if the product of the maximum storage capacity times the effective height is less than 3000.</w:t>
      </w:r>
    </w:p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</w:t>
      </w:r>
      <w:smartTag w:uri="urn:schemas-microsoft-com:office:smarttags" w:element="date">
        <w:smartTagPr>
          <w:attr w:name="Year" w:val="1987"/>
          <w:attr w:name="Day" w:val="2"/>
          <w:attr w:name="Month" w:val="7"/>
        </w:smartTagPr>
        <w:r>
          <w:rPr>
            <w:rFonts w:ascii="Times New Roman" w:hAnsi="Times New Roman"/>
            <w:sz w:val="24"/>
          </w:rPr>
          <w:t>July 2, 1987</w:t>
        </w:r>
      </w:smartTag>
      <w:r>
        <w:rPr>
          <w:rFonts w:ascii="Times New Roman" w:hAnsi="Times New Roman"/>
          <w:sz w:val="24"/>
        </w:rPr>
        <w:t>.</w:t>
      </w:r>
    </w:p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46-2-5, 46-7-3.</w:t>
      </w:r>
    </w:p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46-5-8, 46-5-30, 46-7-3, 46-7-5.</w:t>
      </w:r>
    </w:p>
    <w:p w:rsidR="00AA4B88" w:rsidRDefault="00AA4B88" w:rsidP="00392A6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A4B88" w:rsidSect="00AA4B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2A6F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A4B88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6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2005-03-31T21:37:00Z</dcterms:created>
  <dcterms:modified xsi:type="dcterms:W3CDTF">2005-03-31T21:37:00Z</dcterms:modified>
</cp:coreProperties>
</file>