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 Type="http://schemas.openxmlformats.org/officeDocument/2006/relationships/officeDocument" Target="/word/document.xml" /><Relationship Id="coreR1"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mc:Ignorable="wp14">
  <w:body>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szCs w:val="24"/>
        </w:rPr>
      </w:pPr>
      <w:bookmarkStart w:id="0" w:name="_GoBack"/>
      <w:bookmarkEnd w:id="0"/>
      <w:r>
        <w:rPr>
          <w:rFonts w:ascii="Times New Roman" w:hAnsi="Times New Roman"/>
          <w:sz w:val="24"/>
          <w:szCs w:val="24"/>
        </w:rPr>
        <w:tab/>
      </w:r>
      <w:r>
        <w:rPr>
          <w:rFonts w:ascii="Times New Roman" w:hAnsi="Times New Roman"/>
          <w:b w:val="1"/>
          <w:sz w:val="24"/>
          <w:szCs w:val="24"/>
        </w:rPr>
        <w:t>74:05:08:01.  Definitions.</w:t>
      </w:r>
      <w:r>
        <w:rPr>
          <w:rFonts w:ascii="Times New Roman" w:hAnsi="Times New Roman"/>
          <w:sz w:val="24"/>
          <w:szCs w:val="24"/>
        </w:rPr>
        <w:t xml:space="preserve"> Terms </w:t>
      </w:r>
      <w:r>
        <w:rPr>
          <w:rFonts w:ascii="Times New Roman" w:hAnsi="Times New Roman"/>
          <w:sz w:val="24"/>
          <w:szCs w:val="24"/>
          <w:lang w:val="en-US" w:bidi="en-US" w:eastAsia="en-US"/>
        </w:rPr>
        <w:t xml:space="preserve">used in this chapter that are </w:t>
      </w:r>
      <w:r>
        <w:rPr>
          <w:rFonts w:ascii="Times New Roman" w:hAnsi="Times New Roman"/>
          <w:sz w:val="24"/>
          <w:szCs w:val="24"/>
        </w:rPr>
        <w:t xml:space="preserve">not defined in this section have the meaning given by the Clean Water Act. The following terms </w:t>
      </w:r>
      <w:r>
        <w:rPr>
          <w:rFonts w:ascii="Times New Roman" w:hAnsi="Times New Roman"/>
          <w:sz w:val="24"/>
          <w:szCs w:val="24"/>
          <w:lang w:val="en-US" w:bidi="en-US" w:eastAsia="en-US"/>
        </w:rPr>
        <w:t xml:space="preserve">used in this chapter </w:t>
      </w:r>
      <w:r>
        <w:rPr>
          <w:rFonts w:ascii="Times New Roman" w:hAnsi="Times New Roman"/>
          <w:sz w:val="24"/>
          <w:szCs w:val="24"/>
        </w:rPr>
        <w:t>mean: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szCs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szCs w:val="24"/>
        </w:rPr>
      </w:pPr>
      <w:r>
        <w:rPr>
          <w:rFonts w:ascii="Times New Roman" w:hAnsi="Times New Roman"/>
          <w:sz w:val="24"/>
          <w:szCs w:val="24"/>
        </w:rPr>
        <w:tab/>
        <w:t>(1)  "Act," "Clean Water Act," the federal Water Pollution Control Act Amendments of 1987, as amended to July 1, 2013</w:t>
      </w:r>
      <w:r>
        <w:rPr>
          <w:rFonts w:ascii="Times New Roman" w:hAnsi="Times New Roman"/>
          <w:sz w:val="24"/>
          <w:szCs w:val="24"/>
          <w:lang w:val="en-US" w:bidi="en-US" w:eastAsia="en-US"/>
        </w:rPr>
        <w:t>;</w:t>
      </w:r>
      <w:r>
        <w:rPr>
          <w:rFonts w:ascii="Times New Roman" w:hAnsi="Times New Roman"/>
          <w:sz w:val="24"/>
          <w:szCs w:val="24"/>
        </w:rPr>
        <w:t xml:space="preserve"> and Public Law 111-88, enacted October 30, 2009</w:t>
      </w:r>
      <w:r>
        <w:rPr>
          <w:rFonts w:ascii="Times New Roman" w:hAnsi="Times New Roman"/>
          <w:sz w:val="24"/>
          <w:szCs w:val="24"/>
          <w:lang w:val="en-US" w:bidi="en-US" w:eastAsia="en-US"/>
        </w:rPr>
        <w:t>;</w:t>
      </w:r>
      <w:r>
        <w:rPr>
          <w:rFonts w:ascii="Times New Roman" w:hAnsi="Times New Roman"/>
          <w:sz w:val="24"/>
          <w:szCs w:val="24"/>
        </w:rPr>
        <w:t xml:space="preserve"> Public Law 112-10, enacted April 15, 2011</w:t>
      </w:r>
      <w:r>
        <w:rPr>
          <w:rFonts w:ascii="Times New Roman" w:hAnsi="Times New Roman"/>
          <w:sz w:val="24"/>
          <w:szCs w:val="24"/>
          <w:lang w:val="en-US" w:bidi="en-US" w:eastAsia="en-US"/>
        </w:rPr>
        <w:t>;</w:t>
      </w:r>
      <w:r>
        <w:rPr>
          <w:rFonts w:ascii="Times New Roman" w:hAnsi="Times New Roman"/>
          <w:sz w:val="24"/>
          <w:szCs w:val="24"/>
        </w:rPr>
        <w:t xml:space="preserve"> Public Law 112-74, enacted December 23, 2011</w:t>
      </w:r>
      <w:r>
        <w:rPr>
          <w:rFonts w:ascii="Times New Roman" w:hAnsi="Times New Roman"/>
          <w:sz w:val="24"/>
          <w:szCs w:val="24"/>
          <w:lang w:val="en-US" w:bidi="en-US" w:eastAsia="en-US"/>
        </w:rPr>
        <w:t>;</w:t>
      </w:r>
      <w:r>
        <w:rPr>
          <w:rFonts w:ascii="Times New Roman" w:hAnsi="Times New Roman"/>
          <w:sz w:val="24"/>
          <w:szCs w:val="24"/>
        </w:rPr>
        <w:t xml:space="preserve"> Public Law 113-6, enacted March 26, 2013</w:t>
      </w:r>
      <w:r>
        <w:rPr>
          <w:rFonts w:ascii="Times New Roman" w:hAnsi="Times New Roman"/>
          <w:sz w:val="24"/>
          <w:szCs w:val="24"/>
          <w:lang w:val="en-US" w:bidi="en-US" w:eastAsia="en-US"/>
        </w:rPr>
        <w:t>;</w:t>
      </w:r>
      <w:r>
        <w:rPr>
          <w:rFonts w:ascii="Times New Roman" w:hAnsi="Times New Roman"/>
          <w:sz w:val="24"/>
          <w:szCs w:val="24"/>
        </w:rPr>
        <w:t xml:space="preserve"> Public Law 113-76, enacted January 17, 2014</w:t>
      </w:r>
      <w:r>
        <w:rPr>
          <w:rFonts w:ascii="Times New Roman" w:hAnsi="Times New Roman"/>
          <w:sz w:val="24"/>
          <w:szCs w:val="24"/>
          <w:lang w:val="en-US" w:bidi="en-US" w:eastAsia="en-US"/>
        </w:rPr>
        <w:t>;</w:t>
      </w:r>
      <w:r>
        <w:rPr>
          <w:rFonts w:ascii="Times New Roman" w:hAnsi="Times New Roman"/>
          <w:sz w:val="24"/>
          <w:szCs w:val="24"/>
        </w:rPr>
        <w:t xml:space="preserve"> Public Law 113-121, enacted June 10, 2014;</w:t>
      </w:r>
      <w:r>
        <w:rPr>
          <w:rFonts w:ascii="Times New Roman" w:hAnsi="Times New Roman"/>
          <w:sz w:val="24"/>
          <w:szCs w:val="24"/>
          <w:lang w:val="en-US" w:bidi="en-US" w:eastAsia="en-US"/>
        </w:rPr>
        <w:t xml:space="preserve"> Public Law 113-235, enacted December 16, 2014; Public Law 114-113, enacted December 18, 2015; Public Law 115-31, enacted May 5, 2017; Public Law 115-141, enacted March 23, 2018; Public Law 116-6, enacted February 15, 2019; Public Law 116-260, enacted December 20, 2019; Public Law 116-93, enacted December 27, 2020; Public Law 117-58, enacted November 15, 2021; and Public Law 117-103, enacted March 15, 2022;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szCs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szCs w:val="24"/>
        </w:rPr>
      </w:pPr>
      <w:r>
        <w:rPr>
          <w:rFonts w:ascii="Times New Roman" w:hAnsi="Times New Roman"/>
          <w:sz w:val="24"/>
          <w:szCs w:val="24"/>
        </w:rPr>
        <w:tab/>
        <w:t>(2)  "Assistance," financial assistance awarded by the Board of Water and Natural Resources pursuant to SDCL 46A-1-60.1 to 46A-1-60.3, inclusive;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szCs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szCs w:val="24"/>
        </w:rPr>
      </w:pPr>
      <w:r>
        <w:rPr>
          <w:rFonts w:ascii="Times New Roman" w:hAnsi="Times New Roman"/>
          <w:sz w:val="24"/>
          <w:szCs w:val="24"/>
        </w:rPr>
        <w:tab/>
        <w:t>(</w:t>
      </w:r>
      <w:r>
        <w:rPr>
          <w:rFonts w:ascii="Times New Roman" w:hAnsi="Times New Roman"/>
          <w:sz w:val="24"/>
          <w:szCs w:val="24"/>
          <w:lang w:val="en-US" w:bidi="en-US" w:eastAsia="en-US"/>
        </w:rPr>
        <w:t>3</w:t>
      </w:r>
      <w:r>
        <w:rPr>
          <w:rFonts w:ascii="Times New Roman" w:hAnsi="Times New Roman"/>
          <w:sz w:val="24"/>
          <w:szCs w:val="24"/>
        </w:rPr>
        <w:t>)  "Board," the Board of Water and Natural Resources acting as that board or as the South Dakota Conservancy District;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szCs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szCs w:val="24"/>
        </w:rPr>
      </w:pPr>
      <w:r>
        <w:rPr>
          <w:rFonts w:ascii="Times New Roman" w:hAnsi="Times New Roman"/>
          <w:sz w:val="24"/>
          <w:szCs w:val="24"/>
        </w:rPr>
        <w:tab/>
        <w:t>(</w:t>
      </w:r>
      <w:r>
        <w:rPr>
          <w:rFonts w:ascii="Times New Roman" w:hAnsi="Times New Roman"/>
          <w:sz w:val="24"/>
          <w:szCs w:val="24"/>
          <w:lang w:val="en-US" w:bidi="en-US" w:eastAsia="en-US"/>
        </w:rPr>
        <w:t>4</w:t>
      </w:r>
      <w:r>
        <w:rPr>
          <w:rFonts w:ascii="Times New Roman" w:hAnsi="Times New Roman"/>
          <w:sz w:val="24"/>
          <w:szCs w:val="24"/>
        </w:rPr>
        <w:t>)  "Construction," any of the following procedures: preliminary planning to determine project feasibility; engineering, environmental, architectural, legal, fiscal, or economic studies, surveys, designs, plans, working drawings, specifications, or procedures; other necessary actions for the erection, building acquisition, alteration, remodeling, improvement, or extension of eligible works, the purchase of equipment, and the inspection or supervision of any of these procedures;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szCs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szCs w:val="24"/>
        </w:rPr>
      </w:pPr>
      <w:r>
        <w:rPr>
          <w:rFonts w:ascii="Times New Roman" w:hAnsi="Times New Roman"/>
          <w:sz w:val="24"/>
          <w:szCs w:val="24"/>
        </w:rPr>
        <w:tab/>
        <w:t>(</w:t>
      </w:r>
      <w:r>
        <w:rPr>
          <w:rFonts w:ascii="Times New Roman" w:hAnsi="Times New Roman"/>
          <w:sz w:val="24"/>
          <w:szCs w:val="24"/>
          <w:lang w:val="en-US" w:bidi="en-US" w:eastAsia="en-US"/>
        </w:rPr>
        <w:t>5</w:t>
      </w:r>
      <w:r>
        <w:rPr>
          <w:rFonts w:ascii="Times New Roman" w:hAnsi="Times New Roman"/>
          <w:sz w:val="24"/>
          <w:szCs w:val="24"/>
        </w:rPr>
        <w:t xml:space="preserve">)  "Department," the South Dakota Department of </w:t>
      </w:r>
      <w:r>
        <w:rPr>
          <w:rFonts w:ascii="Times New Roman" w:hAnsi="Times New Roman"/>
          <w:sz w:val="24"/>
          <w:szCs w:val="24"/>
          <w:lang w:val="en-US" w:bidi="en-US" w:eastAsia="en-US"/>
        </w:rPr>
        <w:t>Agriculture</w:t>
      </w:r>
      <w:r>
        <w:rPr>
          <w:rFonts w:ascii="Times New Roman" w:hAnsi="Times New Roman"/>
          <w:sz w:val="24"/>
          <w:szCs w:val="24"/>
        </w:rPr>
        <w:t xml:space="preserve"> and Natural Resources;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szCs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szCs w:val="24"/>
        </w:rPr>
      </w:pPr>
      <w:r>
        <w:rPr>
          <w:rFonts w:ascii="Times New Roman" w:hAnsi="Times New Roman"/>
          <w:sz w:val="24"/>
          <w:szCs w:val="24"/>
        </w:rPr>
        <w:tab/>
        <w:t>(</w:t>
      </w:r>
      <w:r>
        <w:rPr>
          <w:rFonts w:ascii="Times New Roman" w:hAnsi="Times New Roman"/>
          <w:sz w:val="24"/>
          <w:szCs w:val="24"/>
          <w:lang w:val="en-US" w:bidi="en-US" w:eastAsia="en-US"/>
        </w:rPr>
        <w:t>6</w:t>
      </w:r>
      <w:r>
        <w:rPr>
          <w:rFonts w:ascii="Times New Roman" w:hAnsi="Times New Roman"/>
          <w:sz w:val="24"/>
          <w:szCs w:val="24"/>
        </w:rPr>
        <w:t>)  "Facilities plan," an engineering evaluation that describes the need for the proposed wastewater treatment works based on present conditions and future needs, evaluates the costs and adequacies of appropriate alternatives, identifies potential environmental impacts of the proposed project; and provides the selection and justification of a final alternative;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szCs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szCs w:val="24"/>
        </w:rPr>
      </w:pPr>
      <w:r>
        <w:rPr>
          <w:rFonts w:ascii="Times New Roman" w:hAnsi="Times New Roman"/>
          <w:sz w:val="24"/>
          <w:szCs w:val="24"/>
        </w:rPr>
        <w:tab/>
        <w:t>(</w:t>
      </w:r>
      <w:r>
        <w:rPr>
          <w:rFonts w:ascii="Times New Roman" w:hAnsi="Times New Roman"/>
          <w:sz w:val="24"/>
          <w:szCs w:val="24"/>
          <w:lang w:val="en-US" w:bidi="en-US" w:eastAsia="en-US"/>
        </w:rPr>
        <w:t>7</w:t>
      </w:r>
      <w:r>
        <w:rPr>
          <w:rFonts w:ascii="Times New Roman" w:hAnsi="Times New Roman"/>
          <w:sz w:val="24"/>
          <w:szCs w:val="24"/>
        </w:rPr>
        <w:t>)  "Intended Use Plan," "IUP," a document prepared annually which provides assurances and specific proposals, including a list of potential SRF projects;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szCs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szCs w:val="24"/>
        </w:rPr>
      </w:pPr>
      <w:r>
        <w:rPr>
          <w:rFonts w:ascii="Times New Roman" w:hAnsi="Times New Roman"/>
          <w:sz w:val="24"/>
          <w:szCs w:val="24"/>
        </w:rPr>
        <w:tab/>
        <w:t>(</w:t>
      </w:r>
      <w:r>
        <w:rPr>
          <w:rFonts w:ascii="Times New Roman" w:hAnsi="Times New Roman"/>
          <w:sz w:val="24"/>
          <w:szCs w:val="24"/>
          <w:lang w:val="en-US" w:bidi="en-US" w:eastAsia="en-US"/>
        </w:rPr>
        <w:t>8</w:t>
      </w:r>
      <w:r>
        <w:rPr>
          <w:rFonts w:ascii="Times New Roman" w:hAnsi="Times New Roman"/>
          <w:sz w:val="24"/>
          <w:szCs w:val="24"/>
        </w:rPr>
        <w:t>)  "Interceptor," a sewer that receives wastewater from a number of transverse sewers or outlets and conducts the wastewater to a point for treatment or disposal;</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szCs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szCs w:val="24"/>
        </w:rPr>
      </w:pPr>
      <w:r>
        <w:rPr>
          <w:rFonts w:ascii="Times New Roman" w:hAnsi="Times New Roman"/>
          <w:sz w:val="24"/>
          <w:szCs w:val="24"/>
        </w:rPr>
        <w:tab/>
        <w:t>(</w:t>
      </w:r>
      <w:r>
        <w:rPr>
          <w:rFonts w:ascii="Times New Roman" w:hAnsi="Times New Roman"/>
          <w:sz w:val="24"/>
          <w:szCs w:val="24"/>
          <w:lang w:val="en-US" w:bidi="en-US" w:eastAsia="en-US"/>
        </w:rPr>
        <w:t>9</w:t>
      </w:r>
      <w:r>
        <w:rPr>
          <w:rFonts w:ascii="Times New Roman" w:hAnsi="Times New Roman"/>
          <w:sz w:val="24"/>
          <w:szCs w:val="24"/>
        </w:rPr>
        <w:t>)  "Interim financing," a loan for a term not to exceed five years which is to be repaid from the proceeds of a federal grant or loan to be made by an agency or instrumentality of the United States government for a project;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szCs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szCs w:val="24"/>
        </w:rPr>
      </w:pPr>
      <w:r>
        <w:rPr>
          <w:rFonts w:ascii="Times New Roman" w:hAnsi="Times New Roman"/>
          <w:sz w:val="24"/>
          <w:szCs w:val="24"/>
        </w:rPr>
        <w:tab/>
        <w:t>(1</w:t>
      </w:r>
      <w:r>
        <w:rPr>
          <w:rFonts w:ascii="Times New Roman" w:hAnsi="Times New Roman"/>
          <w:sz w:val="24"/>
          <w:szCs w:val="24"/>
          <w:lang w:val="en-US" w:bidi="en-US" w:eastAsia="en-US"/>
        </w:rPr>
        <w:t>0</w:t>
      </w:r>
      <w:r>
        <w:rPr>
          <w:rFonts w:ascii="Times New Roman" w:hAnsi="Times New Roman"/>
          <w:sz w:val="24"/>
          <w:szCs w:val="24"/>
        </w:rPr>
        <w:t>)  "Loan," lending of funds by the board to an eligible applicant pursuant to a financing agreement through the purchase or acquisition of any evidence of indebtedness or other obligation which is issued by the applicant and which is payable from taxes</w:t>
      </w:r>
      <w:r>
        <w:rPr>
          <w:rFonts w:ascii="Times New Roman" w:hAnsi="Times New Roman"/>
          <w:sz w:val="24"/>
          <w:szCs w:val="24"/>
          <w:lang w:val="en-US" w:bidi="en-US" w:eastAsia="en-US"/>
        </w:rPr>
        <w:t>;</w:t>
      </w:r>
      <w:r>
        <w:rPr>
          <w:rFonts w:ascii="Times New Roman" w:hAnsi="Times New Roman"/>
          <w:sz w:val="24"/>
          <w:szCs w:val="24"/>
        </w:rPr>
        <w:t xml:space="preserve"> from rates, revenues, charges, or assessments</w:t>
      </w:r>
      <w:r>
        <w:rPr>
          <w:rFonts w:ascii="Times New Roman" w:hAnsi="Times New Roman"/>
          <w:sz w:val="24"/>
          <w:szCs w:val="24"/>
          <w:lang w:val="en-US" w:bidi="en-US" w:eastAsia="en-US"/>
        </w:rPr>
        <w:t xml:space="preserve">; </w:t>
      </w:r>
      <w:r>
        <w:rPr>
          <w:rFonts w:ascii="Times New Roman" w:hAnsi="Times New Roman"/>
          <w:sz w:val="24"/>
          <w:szCs w:val="24"/>
        </w:rPr>
        <w:t>from distributions of revenue pursuant to a state appropriation or statutory or constitutional provision</w:t>
      </w:r>
      <w:r>
        <w:rPr>
          <w:rFonts w:ascii="Times New Roman" w:hAnsi="Times New Roman"/>
          <w:sz w:val="24"/>
          <w:szCs w:val="24"/>
          <w:lang w:val="en-US" w:bidi="en-US" w:eastAsia="en-US"/>
        </w:rPr>
        <w:t>;</w:t>
      </w:r>
      <w:r>
        <w:rPr>
          <w:rFonts w:ascii="Times New Roman" w:hAnsi="Times New Roman"/>
          <w:sz w:val="24"/>
          <w:szCs w:val="24"/>
        </w:rPr>
        <w:t xml:space="preserve"> or from a pledge of property or other sources;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szCs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szCs w:val="24"/>
        </w:rPr>
      </w:pPr>
      <w:r>
        <w:rPr>
          <w:rFonts w:ascii="Times New Roman" w:hAnsi="Times New Roman"/>
          <w:sz w:val="24"/>
          <w:szCs w:val="24"/>
        </w:rPr>
        <w:tab/>
        <w:t>(</w:t>
      </w:r>
      <w:r>
        <w:rPr>
          <w:rFonts w:ascii="Times New Roman" w:hAnsi="Times New Roman"/>
          <w:sz w:val="24"/>
          <w:szCs w:val="24"/>
          <w:lang w:val="en-US" w:bidi="en-US" w:eastAsia="en-US"/>
        </w:rPr>
        <w:t>11</w:t>
      </w:r>
      <w:r>
        <w:rPr>
          <w:rFonts w:ascii="Times New Roman" w:hAnsi="Times New Roman"/>
          <w:sz w:val="24"/>
          <w:szCs w:val="24"/>
        </w:rPr>
        <w:t xml:space="preserve">)  "Median household income," as identified in the U.S. Census Bureau, American Community Survey, </w:t>
      </w:r>
      <w:r>
        <w:rPr>
          <w:rFonts w:ascii="Times New Roman" w:hAnsi="Times New Roman"/>
          <w:sz w:val="24"/>
          <w:szCs w:val="24"/>
          <w:lang w:val="en-US" w:bidi="en-US" w:eastAsia="en-US"/>
        </w:rPr>
        <w:t>DP03 Selected Economic Characteristics 2020: 5-</w:t>
      </w:r>
      <w:r>
        <w:rPr>
          <w:rFonts w:ascii="Times New Roman" w:hAnsi="Times New Roman"/>
          <w:sz w:val="24"/>
          <w:szCs w:val="24"/>
          <w:lang w:val="en-US" w:bidi="en-US" w:eastAsia="en-US"/>
        </w:rPr>
        <w:t>Y</w:t>
      </w:r>
      <w:r>
        <w:rPr>
          <w:rFonts w:ascii="Times New Roman" w:hAnsi="Times New Roman"/>
          <w:sz w:val="24"/>
          <w:szCs w:val="24"/>
          <w:lang w:val="en-US" w:bidi="en-US" w:eastAsia="en-US"/>
        </w:rPr>
        <w:t>ear Estimates Data Profiles</w:t>
      </w:r>
      <w:r>
        <w:rPr>
          <w:rFonts w:ascii="Times New Roman" w:hAnsi="Times New Roman"/>
          <w:sz w:val="24"/>
          <w:szCs w:val="24"/>
        </w:rPr>
        <w:t xml:space="preserve"> or by other statistically valid income data supplied by the applicant and acceptable to the board;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szCs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szCs w:val="24"/>
        </w:rPr>
      </w:pPr>
      <w:r>
        <w:rPr>
          <w:rFonts w:ascii="Times New Roman" w:hAnsi="Times New Roman"/>
          <w:sz w:val="24"/>
          <w:szCs w:val="24"/>
        </w:rPr>
        <w:tab/>
        <w:t>(1</w:t>
      </w:r>
      <w:r>
        <w:rPr>
          <w:rFonts w:ascii="Times New Roman" w:hAnsi="Times New Roman"/>
          <w:sz w:val="24"/>
          <w:szCs w:val="24"/>
          <w:lang w:val="en-US" w:bidi="en-US" w:eastAsia="en-US"/>
        </w:rPr>
        <w:t>2</w:t>
      </w:r>
      <w:r>
        <w:rPr>
          <w:rFonts w:ascii="Times New Roman" w:hAnsi="Times New Roman"/>
          <w:sz w:val="24"/>
          <w:szCs w:val="24"/>
        </w:rPr>
        <w:t>)  "Minimum established rat</w:t>
      </w:r>
      <w:r>
        <w:rPr>
          <w:rFonts w:ascii="Times New Roman" w:hAnsi="Times New Roman"/>
          <w:sz w:val="24"/>
          <w:szCs w:val="24"/>
          <w:lang w:val="en-US" w:bidi="en-US" w:eastAsia="en-US"/>
        </w:rPr>
        <w:t>e</w:t>
      </w:r>
      <w:r>
        <w:rPr>
          <w:rFonts w:ascii="Times New Roman" w:hAnsi="Times New Roman"/>
          <w:sz w:val="24"/>
          <w:szCs w:val="24"/>
        </w:rPr>
        <w:t xml:space="preserve">," </w:t>
      </w:r>
      <w:r>
        <w:rPr>
          <w:rFonts w:ascii="Times New Roman" w:hAnsi="Times New Roman"/>
          <w:sz w:val="24"/>
          <w:szCs w:val="24"/>
          <w:lang w:val="en-US" w:bidi="en-US" w:eastAsia="en-US"/>
        </w:rPr>
        <w:t xml:space="preserve">a </w:t>
      </w:r>
      <w:r>
        <w:rPr>
          <w:rFonts w:ascii="Times New Roman" w:hAnsi="Times New Roman"/>
          <w:sz w:val="24"/>
          <w:szCs w:val="24"/>
        </w:rPr>
        <w:t>rate charged to residential users of a wastewater system that meet</w:t>
      </w:r>
      <w:r>
        <w:rPr>
          <w:rFonts w:ascii="Times New Roman" w:hAnsi="Times New Roman"/>
          <w:sz w:val="24"/>
          <w:szCs w:val="24"/>
          <w:lang w:val="en-US" w:bidi="en-US" w:eastAsia="en-US"/>
        </w:rPr>
        <w:t>s</w:t>
      </w:r>
      <w:r>
        <w:rPr>
          <w:rFonts w:ascii="Times New Roman" w:hAnsi="Times New Roman"/>
          <w:sz w:val="24"/>
          <w:szCs w:val="24"/>
        </w:rPr>
        <w:t xml:space="preserve"> the following criteria</w:t>
      </w:r>
      <w:r>
        <w:rPr>
          <w:rFonts w:ascii="Times New Roman" w:hAnsi="Times New Roman"/>
          <w:sz w:val="24"/>
          <w:szCs w:val="24"/>
          <w:lang w:val="en-US" w:bidi="en-US" w:eastAsia="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szCs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szCs w:val="24"/>
        </w:rPr>
      </w:pPr>
      <w:r>
        <w:rPr>
          <w:rFonts w:ascii="Times New Roman" w:hAnsi="Times New Roman"/>
          <w:sz w:val="24"/>
          <w:szCs w:val="24"/>
        </w:rPr>
        <w:tab/>
        <w:tab/>
        <w:t xml:space="preserve">(a)  For municipalities and sanitary districts the monthly residential wastewater bill is </w:t>
      </w:r>
      <w:r>
        <w:rPr>
          <w:rFonts w:ascii="Times New Roman" w:hAnsi="Times New Roman"/>
          <w:sz w:val="24"/>
          <w:szCs w:val="24"/>
          <w:lang w:val="en-US" w:bidi="en-US" w:eastAsia="en-US"/>
        </w:rPr>
        <w:t>forty-five dollars</w:t>
      </w:r>
      <w:r>
        <w:rPr>
          <w:rFonts w:ascii="Times New Roman" w:hAnsi="Times New Roman"/>
          <w:sz w:val="24"/>
          <w:szCs w:val="24"/>
        </w:rPr>
        <w:t xml:space="preserve"> or more for </w:t>
      </w:r>
      <w:r>
        <w:rPr>
          <w:rFonts w:ascii="Times New Roman" w:hAnsi="Times New Roman"/>
          <w:sz w:val="24"/>
          <w:szCs w:val="24"/>
          <w:lang w:val="en-US" w:bidi="en-US" w:eastAsia="en-US"/>
        </w:rPr>
        <w:t>five thousand</w:t>
      </w:r>
      <w:r>
        <w:rPr>
          <w:rFonts w:ascii="Times New Roman" w:hAnsi="Times New Roman"/>
          <w:sz w:val="24"/>
          <w:szCs w:val="24"/>
        </w:rPr>
        <w:t xml:space="preserve"> gallons usage</w:t>
      </w:r>
      <w:r>
        <w:rPr>
          <w:rFonts w:ascii="Times New Roman" w:hAnsi="Times New Roman"/>
          <w:sz w:val="24"/>
          <w:szCs w:val="24"/>
          <w:lang w:val="en-US" w:bidi="en-US" w:eastAsia="en-US"/>
        </w:rPr>
        <w:t xml:space="preserve"> </w:t>
      </w:r>
      <w:r>
        <w:rPr>
          <w:rFonts w:ascii="Times New Roman" w:hAnsi="Times New Roman"/>
          <w:sz w:val="24"/>
          <w:szCs w:val="24"/>
        </w:rPr>
        <w:t>or</w:t>
      </w:r>
      <w:r>
        <w:rPr>
          <w:rFonts w:ascii="Times New Roman" w:hAnsi="Times New Roman"/>
          <w:sz w:val="24"/>
          <w:szCs w:val="24"/>
          <w:lang w:val="en-US" w:bidi="en-US" w:eastAsia="en-US"/>
        </w:rPr>
        <w:t xml:space="preserve"> thirty dollars or more for five thousand gallons usage for projects that will receive loan proceeds from the Clean Water State Revolving Fund Emerging Contaminants funding made available through Public Law 117-58; 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szCs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szCs w:val="24"/>
        </w:rPr>
      </w:pPr>
      <w:r>
        <w:rPr>
          <w:rFonts w:ascii="Times New Roman" w:hAnsi="Times New Roman"/>
          <w:sz w:val="24"/>
          <w:szCs w:val="24"/>
        </w:rPr>
        <w:tab/>
        <w:tab/>
        <w:t xml:space="preserve">(b)  For all other assistance recipients the monthly residential wastewater bill is </w:t>
      </w:r>
      <w:r>
        <w:rPr>
          <w:rFonts w:ascii="Times New Roman" w:hAnsi="Times New Roman"/>
          <w:sz w:val="24"/>
          <w:szCs w:val="24"/>
          <w:lang w:val="en-US" w:bidi="en-US" w:eastAsia="en-US"/>
        </w:rPr>
        <w:t>seventy dollars</w:t>
      </w:r>
      <w:r>
        <w:rPr>
          <w:rFonts w:ascii="Times New Roman" w:hAnsi="Times New Roman"/>
          <w:sz w:val="24"/>
          <w:szCs w:val="24"/>
        </w:rPr>
        <w:t xml:space="preserve"> or more for </w:t>
      </w:r>
      <w:r>
        <w:rPr>
          <w:rFonts w:ascii="Times New Roman" w:hAnsi="Times New Roman"/>
          <w:sz w:val="24"/>
          <w:szCs w:val="24"/>
          <w:lang w:val="en-US" w:bidi="en-US" w:eastAsia="en-US"/>
        </w:rPr>
        <w:t>five thousand</w:t>
      </w:r>
      <w:r>
        <w:rPr>
          <w:rFonts w:ascii="Times New Roman" w:hAnsi="Times New Roman"/>
          <w:sz w:val="24"/>
          <w:szCs w:val="24"/>
        </w:rPr>
        <w:t xml:space="preserve"> gallons usage</w:t>
      </w:r>
      <w:r>
        <w:rPr>
          <w:rFonts w:ascii="Times New Roman" w:hAnsi="Times New Roman"/>
          <w:sz w:val="24"/>
          <w:szCs w:val="24"/>
          <w:lang w:val="en-US" w:bidi="en-US" w:eastAsia="en-US"/>
        </w:rPr>
        <w:t xml:space="preserve"> or thirty dollars or more for five thousand gallons usage for projects that will receive loan proceeds from the Clean Water State Revolving Fund Emerging Contaminants funding made available through Public Law 117-58</w:t>
      </w:r>
      <w:r>
        <w:rPr>
          <w:rFonts w:ascii="Times New Roman" w:hAnsi="Times New Roman"/>
          <w:sz w:val="24"/>
          <w:szCs w:val="24"/>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szCs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szCs w:val="24"/>
        </w:rPr>
      </w:pPr>
      <w:r>
        <w:rPr>
          <w:rFonts w:ascii="Times New Roman" w:hAnsi="Times New Roman"/>
          <w:sz w:val="24"/>
          <w:szCs w:val="24"/>
        </w:rPr>
        <w:tab/>
        <w:t>(</w:t>
      </w:r>
      <w:r>
        <w:rPr>
          <w:rFonts w:ascii="Times New Roman" w:hAnsi="Times New Roman"/>
          <w:sz w:val="24"/>
          <w:szCs w:val="24"/>
          <w:lang w:val="en-US" w:bidi="en-US" w:eastAsia="en-US"/>
        </w:rPr>
        <w:t>13</w:t>
      </w:r>
      <w:r>
        <w:rPr>
          <w:rFonts w:ascii="Times New Roman" w:hAnsi="Times New Roman"/>
          <w:sz w:val="24"/>
          <w:szCs w:val="24"/>
        </w:rPr>
        <w:t>)  "Nonpoint source," pollution originating from many diffuse sources caused by rainfall or snowmelt moving over and through the ground;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szCs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szCs w:val="24"/>
        </w:rPr>
      </w:pPr>
      <w:r>
        <w:rPr>
          <w:rFonts w:ascii="Times New Roman" w:hAnsi="Times New Roman"/>
          <w:sz w:val="24"/>
          <w:szCs w:val="24"/>
        </w:rPr>
        <w:tab/>
        <w:t>(1</w:t>
      </w:r>
      <w:r>
        <w:rPr>
          <w:rFonts w:ascii="Times New Roman" w:hAnsi="Times New Roman"/>
          <w:sz w:val="24"/>
          <w:szCs w:val="24"/>
          <w:lang w:val="en-US" w:bidi="en-US" w:eastAsia="en-US"/>
        </w:rPr>
        <w:t>4</w:t>
      </w:r>
      <w:r>
        <w:rPr>
          <w:rFonts w:ascii="Times New Roman" w:hAnsi="Times New Roman"/>
          <w:sz w:val="24"/>
          <w:szCs w:val="24"/>
        </w:rPr>
        <w:t>)  "Project," the actual erection, building acquisition, alteration, remodeling, improvement, or extension of eligible works, including the necessary planning, design, land acquisition, and purchase or installation of equipment, or implementation of nonpoint source practices;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szCs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szCs w:val="24"/>
        </w:rPr>
      </w:pPr>
      <w:r>
        <w:rPr>
          <w:rFonts w:ascii="Times New Roman" w:hAnsi="Times New Roman"/>
          <w:sz w:val="24"/>
          <w:szCs w:val="24"/>
        </w:rPr>
        <w:tab/>
        <w:t>(</w:t>
      </w:r>
      <w:r>
        <w:rPr>
          <w:rFonts w:ascii="Times New Roman" w:hAnsi="Times New Roman"/>
          <w:sz w:val="24"/>
          <w:szCs w:val="24"/>
          <w:lang w:val="en-US" w:bidi="en-US" w:eastAsia="en-US"/>
        </w:rPr>
        <w:t>15</w:t>
      </w:r>
      <w:r>
        <w:rPr>
          <w:rFonts w:ascii="Times New Roman" w:hAnsi="Times New Roman"/>
          <w:sz w:val="24"/>
          <w:szCs w:val="24"/>
        </w:rPr>
        <w:t xml:space="preserve">)  "Secretary," the secretary of the Department of </w:t>
      </w:r>
      <w:r>
        <w:rPr>
          <w:rFonts w:ascii="Times New Roman" w:hAnsi="Times New Roman"/>
          <w:sz w:val="24"/>
          <w:szCs w:val="24"/>
          <w:lang w:val="en-US" w:bidi="en-US" w:eastAsia="en-US"/>
        </w:rPr>
        <w:t>Agriculture</w:t>
      </w:r>
      <w:r>
        <w:rPr>
          <w:rFonts w:ascii="Times New Roman" w:hAnsi="Times New Roman"/>
          <w:sz w:val="24"/>
          <w:szCs w:val="24"/>
        </w:rPr>
        <w:t xml:space="preserve"> and Natural Resources;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szCs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szCs w:val="24"/>
        </w:rPr>
      </w:pPr>
      <w:r>
        <w:rPr>
          <w:rFonts w:ascii="Times New Roman" w:hAnsi="Times New Roman"/>
          <w:sz w:val="24"/>
          <w:szCs w:val="24"/>
        </w:rPr>
        <w:tab/>
        <w:t>(</w:t>
      </w:r>
      <w:r>
        <w:rPr>
          <w:rFonts w:ascii="Times New Roman" w:hAnsi="Times New Roman"/>
          <w:sz w:val="24"/>
          <w:szCs w:val="24"/>
          <w:lang w:val="en-US" w:bidi="en-US" w:eastAsia="en-US"/>
        </w:rPr>
        <w:t>16</w:t>
      </w:r>
      <w:r>
        <w:rPr>
          <w:rFonts w:ascii="Times New Roman" w:hAnsi="Times New Roman"/>
          <w:sz w:val="24"/>
          <w:szCs w:val="24"/>
        </w:rPr>
        <w:t xml:space="preserve">)  "Source </w:t>
      </w:r>
      <w:r>
        <w:rPr>
          <w:rFonts w:ascii="Times New Roman" w:hAnsi="Times New Roman"/>
          <w:sz w:val="24"/>
          <w:szCs w:val="24"/>
          <w:lang w:val="en-US" w:bidi="en-US" w:eastAsia="en-US"/>
        </w:rPr>
        <w:t>w</w:t>
      </w:r>
      <w:r>
        <w:rPr>
          <w:rFonts w:ascii="Times New Roman" w:hAnsi="Times New Roman"/>
          <w:sz w:val="24"/>
          <w:szCs w:val="24"/>
        </w:rPr>
        <w:t xml:space="preserve">ater </w:t>
      </w:r>
      <w:r>
        <w:rPr>
          <w:rFonts w:ascii="Times New Roman" w:hAnsi="Times New Roman"/>
          <w:sz w:val="24"/>
          <w:szCs w:val="24"/>
          <w:lang w:val="en-US" w:bidi="en-US" w:eastAsia="en-US"/>
        </w:rPr>
        <w:t>a</w:t>
      </w:r>
      <w:r>
        <w:rPr>
          <w:rFonts w:ascii="Times New Roman" w:hAnsi="Times New Roman"/>
          <w:sz w:val="24"/>
          <w:szCs w:val="24"/>
        </w:rPr>
        <w:t xml:space="preserve">ssessment </w:t>
      </w:r>
      <w:r>
        <w:rPr>
          <w:rFonts w:ascii="Times New Roman" w:hAnsi="Times New Roman"/>
          <w:sz w:val="24"/>
          <w:szCs w:val="24"/>
          <w:lang w:val="en-US" w:bidi="en-US" w:eastAsia="en-US"/>
        </w:rPr>
        <w:t>r</w:t>
      </w:r>
      <w:r>
        <w:rPr>
          <w:rFonts w:ascii="Times New Roman" w:hAnsi="Times New Roman"/>
          <w:sz w:val="24"/>
          <w:szCs w:val="24"/>
        </w:rPr>
        <w:t xml:space="preserve">eport," a report prepared by the department that identifies potential sources of pollution in the portion of a watershed or groundwater area that contributes water to a water system that has at least </w:t>
      </w:r>
      <w:r>
        <w:rPr>
          <w:rFonts w:ascii="Times New Roman" w:hAnsi="Times New Roman"/>
          <w:sz w:val="24"/>
          <w:szCs w:val="24"/>
          <w:lang w:val="en-US" w:bidi="en-US" w:eastAsia="en-US"/>
        </w:rPr>
        <w:t>fifteen</w:t>
      </w:r>
      <w:r>
        <w:rPr>
          <w:rFonts w:ascii="Times New Roman" w:hAnsi="Times New Roman"/>
          <w:sz w:val="24"/>
          <w:szCs w:val="24"/>
        </w:rPr>
        <w:t xml:space="preserve"> service connections for year-round residents or that serves at least </w:t>
      </w:r>
      <w:r>
        <w:rPr>
          <w:rFonts w:ascii="Times New Roman" w:hAnsi="Times New Roman"/>
          <w:sz w:val="24"/>
          <w:szCs w:val="24"/>
          <w:lang w:val="en-US" w:bidi="en-US" w:eastAsia="en-US"/>
        </w:rPr>
        <w:t>twenty-five</w:t>
      </w:r>
      <w:r>
        <w:rPr>
          <w:rFonts w:ascii="Times New Roman" w:hAnsi="Times New Roman"/>
          <w:sz w:val="24"/>
          <w:szCs w:val="24"/>
        </w:rPr>
        <w:t xml:space="preserve"> year-round residents;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szCs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szCs w:val="24"/>
        </w:rPr>
      </w:pPr>
      <w:r>
        <w:rPr>
          <w:rFonts w:ascii="Times New Roman" w:hAnsi="Times New Roman"/>
          <w:sz w:val="24"/>
          <w:szCs w:val="24"/>
        </w:rPr>
        <w:tab/>
        <w:t>(</w:t>
      </w:r>
      <w:r>
        <w:rPr>
          <w:rFonts w:ascii="Times New Roman" w:hAnsi="Times New Roman"/>
          <w:sz w:val="24"/>
          <w:szCs w:val="24"/>
          <w:lang w:val="en-US" w:bidi="en-US" w:eastAsia="en-US"/>
        </w:rPr>
        <w:t>17</w:t>
      </w:r>
      <w:r>
        <w:rPr>
          <w:rFonts w:ascii="Times New Roman" w:hAnsi="Times New Roman"/>
          <w:sz w:val="24"/>
          <w:szCs w:val="24"/>
        </w:rPr>
        <w:t>)  "S</w:t>
      </w:r>
      <w:r>
        <w:rPr>
          <w:rFonts w:ascii="Times New Roman" w:hAnsi="Times New Roman"/>
          <w:sz w:val="24"/>
          <w:szCs w:val="24"/>
          <w:lang w:val="en-US" w:bidi="en-US" w:eastAsia="en-US"/>
        </w:rPr>
        <w:t xml:space="preserve">tate </w:t>
      </w:r>
      <w:r>
        <w:rPr>
          <w:rFonts w:ascii="Times New Roman" w:hAnsi="Times New Roman"/>
          <w:sz w:val="24"/>
          <w:szCs w:val="24"/>
        </w:rPr>
        <w:t>R</w:t>
      </w:r>
      <w:r>
        <w:rPr>
          <w:rFonts w:ascii="Times New Roman" w:hAnsi="Times New Roman"/>
          <w:sz w:val="24"/>
          <w:szCs w:val="24"/>
          <w:lang w:val="en-US" w:bidi="en-US" w:eastAsia="en-US"/>
        </w:rPr>
        <w:t xml:space="preserve">evolving </w:t>
      </w:r>
      <w:r>
        <w:rPr>
          <w:rFonts w:ascii="Times New Roman" w:hAnsi="Times New Roman"/>
          <w:sz w:val="24"/>
          <w:szCs w:val="24"/>
        </w:rPr>
        <w:t>F</w:t>
      </w:r>
      <w:r>
        <w:rPr>
          <w:rFonts w:ascii="Times New Roman" w:hAnsi="Times New Roman"/>
          <w:sz w:val="24"/>
          <w:szCs w:val="24"/>
          <w:lang w:val="en-US" w:bidi="en-US" w:eastAsia="en-US"/>
        </w:rPr>
        <w:t>und</w:t>
      </w:r>
      <w:r>
        <w:rPr>
          <w:rFonts w:ascii="Times New Roman" w:hAnsi="Times New Roman"/>
          <w:sz w:val="24"/>
          <w:szCs w:val="24"/>
        </w:rPr>
        <w:t xml:space="preserve">," the </w:t>
      </w:r>
      <w:r>
        <w:rPr>
          <w:rFonts w:ascii="Times New Roman" w:hAnsi="Times New Roman"/>
          <w:sz w:val="24"/>
          <w:szCs w:val="24"/>
          <w:lang w:val="en-US" w:bidi="en-US" w:eastAsia="en-US"/>
        </w:rPr>
        <w:t>s</w:t>
      </w:r>
      <w:r>
        <w:rPr>
          <w:rFonts w:ascii="Times New Roman" w:hAnsi="Times New Roman"/>
          <w:sz w:val="24"/>
          <w:szCs w:val="24"/>
        </w:rPr>
        <w:t xml:space="preserve">tate </w:t>
      </w:r>
      <w:r>
        <w:rPr>
          <w:rFonts w:ascii="Times New Roman" w:hAnsi="Times New Roman"/>
          <w:sz w:val="24"/>
          <w:szCs w:val="24"/>
          <w:lang w:val="en-US" w:bidi="en-US" w:eastAsia="en-US"/>
        </w:rPr>
        <w:t>w</w:t>
      </w:r>
      <w:r>
        <w:rPr>
          <w:rFonts w:ascii="Times New Roman" w:hAnsi="Times New Roman"/>
          <w:sz w:val="24"/>
          <w:szCs w:val="24"/>
        </w:rPr>
        <w:t xml:space="preserve">ater </w:t>
      </w:r>
      <w:r>
        <w:rPr>
          <w:rFonts w:ascii="Times New Roman" w:hAnsi="Times New Roman"/>
          <w:sz w:val="24"/>
          <w:szCs w:val="24"/>
          <w:lang w:val="en-US" w:bidi="en-US" w:eastAsia="en-US"/>
        </w:rPr>
        <w:t>p</w:t>
      </w:r>
      <w:r>
        <w:rPr>
          <w:rFonts w:ascii="Times New Roman" w:hAnsi="Times New Roman"/>
          <w:sz w:val="24"/>
          <w:szCs w:val="24"/>
        </w:rPr>
        <w:t xml:space="preserve">ollution </w:t>
      </w:r>
      <w:r>
        <w:rPr>
          <w:rFonts w:ascii="Times New Roman" w:hAnsi="Times New Roman"/>
          <w:sz w:val="24"/>
          <w:szCs w:val="24"/>
          <w:lang w:val="en-US" w:bidi="en-US" w:eastAsia="en-US"/>
        </w:rPr>
        <w:t>c</w:t>
      </w:r>
      <w:r>
        <w:rPr>
          <w:rFonts w:ascii="Times New Roman" w:hAnsi="Times New Roman"/>
          <w:sz w:val="24"/>
          <w:szCs w:val="24"/>
        </w:rPr>
        <w:t xml:space="preserve">ontrol </w:t>
      </w:r>
      <w:r>
        <w:rPr>
          <w:rFonts w:ascii="Times New Roman" w:hAnsi="Times New Roman"/>
          <w:sz w:val="24"/>
          <w:szCs w:val="24"/>
          <w:lang w:val="en-US" w:bidi="en-US" w:eastAsia="en-US"/>
        </w:rPr>
        <w:t>f</w:t>
      </w:r>
      <w:r>
        <w:rPr>
          <w:rFonts w:ascii="Times New Roman" w:hAnsi="Times New Roman"/>
          <w:sz w:val="24"/>
          <w:szCs w:val="24"/>
        </w:rPr>
        <w:t>und, a dedicated financing mechanism to provide loans, grants, and other forms of assistance for eligible works and projects;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szCs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szCs w:val="24"/>
        </w:rPr>
      </w:pPr>
      <w:r>
        <w:rPr>
          <w:rFonts w:ascii="Times New Roman" w:hAnsi="Times New Roman"/>
          <w:sz w:val="24"/>
          <w:szCs w:val="24"/>
        </w:rPr>
        <w:tab/>
        <w:t>(</w:t>
      </w:r>
      <w:r>
        <w:rPr>
          <w:rFonts w:ascii="Times New Roman" w:hAnsi="Times New Roman"/>
          <w:sz w:val="24"/>
          <w:szCs w:val="24"/>
          <w:lang w:val="en-US" w:bidi="en-US" w:eastAsia="en-US"/>
        </w:rPr>
        <w:t>18</w:t>
      </w:r>
      <w:r>
        <w:rPr>
          <w:rFonts w:ascii="Times New Roman" w:hAnsi="Times New Roman"/>
          <w:sz w:val="24"/>
          <w:szCs w:val="24"/>
        </w:rPr>
        <w:t xml:space="preserve">)  "Storm water project," </w:t>
      </w:r>
      <w:r>
        <w:rPr>
          <w:rFonts w:ascii="Times New Roman" w:hAnsi="Times New Roman"/>
          <w:sz w:val="24"/>
          <w:szCs w:val="24"/>
          <w:lang w:val="en-US" w:bidi="en-US" w:eastAsia="en-US"/>
        </w:rPr>
        <w:t xml:space="preserve">a </w:t>
      </w:r>
      <w:r>
        <w:rPr>
          <w:rFonts w:ascii="Times New Roman" w:hAnsi="Times New Roman"/>
          <w:sz w:val="24"/>
          <w:szCs w:val="24"/>
        </w:rPr>
        <w:t>project designed to carry or retain only storm waters, surface runoff, street wash waters, and drainage;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szCs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szCs w:val="24"/>
        </w:rPr>
      </w:pPr>
      <w:r>
        <w:rPr>
          <w:rFonts w:ascii="Times New Roman" w:hAnsi="Times New Roman"/>
          <w:sz w:val="24"/>
          <w:szCs w:val="24"/>
        </w:rPr>
        <w:tab/>
        <w:t>(</w:t>
      </w:r>
      <w:r>
        <w:rPr>
          <w:rFonts w:ascii="Times New Roman" w:hAnsi="Times New Roman"/>
          <w:sz w:val="24"/>
          <w:szCs w:val="24"/>
          <w:lang w:val="en-US" w:bidi="en-US" w:eastAsia="en-US"/>
        </w:rPr>
        <w:t>19</w:t>
      </w:r>
      <w:r>
        <w:rPr>
          <w:rFonts w:ascii="Times New Roman" w:hAnsi="Times New Roman"/>
          <w:sz w:val="24"/>
          <w:szCs w:val="24"/>
        </w:rPr>
        <w:t>)  "TMDL process," a determination of the amount of pollution a waterbody can receive and still maintain water quality standards;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szCs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szCs w:val="24"/>
          <w:lang w:val="en-US" w:bidi="en-US" w:eastAsia="en-US"/>
        </w:rPr>
      </w:pPr>
      <w:r>
        <w:rPr>
          <w:rFonts w:ascii="Times New Roman" w:hAnsi="Times New Roman"/>
          <w:sz w:val="24"/>
          <w:szCs w:val="24"/>
        </w:rPr>
        <w:tab/>
        <w:t>(2</w:t>
      </w:r>
      <w:r>
        <w:rPr>
          <w:rFonts w:ascii="Times New Roman" w:hAnsi="Times New Roman"/>
          <w:sz w:val="24"/>
          <w:szCs w:val="24"/>
          <w:lang w:val="en-US" w:bidi="en-US" w:eastAsia="en-US"/>
        </w:rPr>
        <w:t>0</w:t>
      </w:r>
      <w:r>
        <w:rPr>
          <w:rFonts w:ascii="Times New Roman" w:hAnsi="Times New Roman"/>
          <w:sz w:val="24"/>
          <w:szCs w:val="24"/>
        </w:rPr>
        <w:t xml:space="preserve">)  "Wastewater treatment works," any </w:t>
      </w:r>
      <w:r>
        <w:rPr>
          <w:rFonts w:ascii="Times New Roman" w:hAnsi="Times New Roman"/>
          <w:sz w:val="24"/>
          <w:szCs w:val="24"/>
          <w:lang w:val="en-US" w:bidi="en-US" w:eastAsia="en-US"/>
        </w:rPr>
        <w:t xml:space="preserve">acquisition of the land that will be an integral part of the treatment process or will be used for ultimate disposal of residues resulting from such treatment; or any </w:t>
      </w:r>
      <w:r>
        <w:rPr>
          <w:rFonts w:ascii="Times New Roman" w:hAnsi="Times New Roman"/>
          <w:sz w:val="24"/>
          <w:szCs w:val="24"/>
        </w:rPr>
        <w:t xml:space="preserve">devices and systems used in the storage, treatment, recycling, and reclamation of municipal sewage, domestic sewage, or industrial wastes of a liquid nature </w:t>
      </w:r>
      <w:r>
        <w:rPr>
          <w:rFonts w:ascii="Times New Roman" w:hAnsi="Times New Roman"/>
          <w:sz w:val="24"/>
          <w:szCs w:val="24"/>
          <w:lang w:val="en-US" w:bidi="en-US" w:eastAsia="en-US"/>
        </w:rPr>
        <w:t>that: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szCs w:val="24"/>
          <w:lang w:val="en-US" w:bidi="en-US" w:eastAsia="en-US"/>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szCs w:val="24"/>
          <w:lang w:val="en-US" w:bidi="en-US" w:eastAsia="en-US"/>
        </w:rPr>
      </w:pPr>
      <w:r>
        <w:rPr>
          <w:rFonts w:ascii="Times New Roman" w:hAnsi="Times New Roman"/>
          <w:sz w:val="24"/>
          <w:szCs w:val="24"/>
          <w:lang w:val="en-US" w:bidi="en-US" w:eastAsia="en-US"/>
        </w:rPr>
        <w:tab/>
        <w:tab/>
        <w:t xml:space="preserve">(a)  Implement </w:t>
      </w:r>
      <w:r>
        <w:rPr>
          <w:rFonts w:ascii="Times New Roman" w:hAnsi="Times New Roman"/>
          <w:sz w:val="24"/>
          <w:szCs w:val="24"/>
        </w:rPr>
        <w:t>section 201 of the Act</w:t>
      </w:r>
      <w:r>
        <w:rPr>
          <w:rFonts w:ascii="Times New Roman" w:hAnsi="Times New Roman"/>
          <w:sz w:val="24"/>
          <w:szCs w:val="24"/>
          <w:lang w:val="en-US" w:bidi="en-US" w:eastAsia="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szCs w:val="24"/>
          <w:lang w:val="en-US" w:bidi="en-US" w:eastAsia="en-US"/>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szCs w:val="24"/>
          <w:lang w:val="en-US" w:bidi="en-US" w:eastAsia="en-US"/>
        </w:rPr>
      </w:pPr>
      <w:r>
        <w:rPr>
          <w:rFonts w:ascii="Times New Roman" w:hAnsi="Times New Roman"/>
          <w:sz w:val="24"/>
          <w:szCs w:val="24"/>
          <w:lang w:val="en-US" w:bidi="en-US" w:eastAsia="en-US"/>
        </w:rPr>
        <w:tab/>
        <w:tab/>
        <w:t>(b)  Are</w:t>
      </w:r>
      <w:r>
        <w:rPr>
          <w:rFonts w:ascii="Times New Roman" w:hAnsi="Times New Roman"/>
          <w:sz w:val="24"/>
          <w:szCs w:val="24"/>
        </w:rPr>
        <w:t xml:space="preserve"> necessary to recycle or reuse water at the most economical cost over the estimated life of the works</w:t>
      </w:r>
      <w:r>
        <w:rPr>
          <w:rFonts w:ascii="Times New Roman" w:hAnsi="Times New Roman"/>
          <w:sz w:val="24"/>
          <w:szCs w:val="24"/>
          <w:lang w:val="en-US" w:bidi="en-US" w:eastAsia="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szCs w:val="24"/>
          <w:lang w:val="en-US" w:bidi="en-US" w:eastAsia="en-US"/>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szCs w:val="24"/>
          <w:lang w:val="en-US" w:bidi="en-US" w:eastAsia="en-US"/>
        </w:rPr>
      </w:pPr>
      <w:r>
        <w:rPr>
          <w:rFonts w:ascii="Times New Roman" w:hAnsi="Times New Roman"/>
          <w:sz w:val="24"/>
          <w:szCs w:val="24"/>
          <w:lang w:val="en-US" w:bidi="en-US" w:eastAsia="en-US"/>
        </w:rPr>
        <w:tab/>
        <w:tab/>
        <w:t xml:space="preserve">(c)  Constitute </w:t>
      </w:r>
      <w:r>
        <w:rPr>
          <w:rFonts w:ascii="Times New Roman" w:hAnsi="Times New Roman"/>
          <w:sz w:val="24"/>
          <w:szCs w:val="24"/>
        </w:rPr>
        <w:t>elements essential to provide a reliable recycled supply</w:t>
      </w:r>
      <w:r>
        <w:rPr>
          <w:rFonts w:ascii="Times New Roman" w:hAnsi="Times New Roman"/>
          <w:sz w:val="24"/>
          <w:szCs w:val="24"/>
          <w:lang w:val="en-US" w:bidi="en-US" w:eastAsia="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szCs w:val="24"/>
          <w:lang w:val="en-US" w:bidi="en-US" w:eastAsia="en-US"/>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szCs w:val="24"/>
        </w:rPr>
      </w:pPr>
      <w:r>
        <w:rPr>
          <w:rFonts w:ascii="Times New Roman" w:hAnsi="Times New Roman"/>
          <w:sz w:val="24"/>
          <w:szCs w:val="24"/>
          <w:lang w:val="en-US" w:bidi="en-US" w:eastAsia="en-US"/>
        </w:rPr>
        <w:tab/>
        <w:tab/>
        <w:t>(d)  Are</w:t>
      </w:r>
      <w:r>
        <w:rPr>
          <w:rFonts w:ascii="Times New Roman" w:hAnsi="Times New Roman"/>
          <w:sz w:val="24"/>
          <w:szCs w:val="24"/>
        </w:rPr>
        <w:t xml:space="preserve"> used for the ultimate disposal of residues resulting from </w:t>
      </w:r>
      <w:r>
        <w:rPr>
          <w:rFonts w:ascii="Times New Roman" w:hAnsi="Times New Roman"/>
          <w:sz w:val="24"/>
          <w:szCs w:val="24"/>
          <w:lang w:val="en-US" w:bidi="en-US" w:eastAsia="en-US"/>
        </w:rPr>
        <w:t>the</w:t>
      </w:r>
      <w:r>
        <w:rPr>
          <w:rFonts w:ascii="Times New Roman" w:hAnsi="Times New Roman"/>
          <w:sz w:val="24"/>
          <w:szCs w:val="24"/>
        </w:rPr>
        <w:t xml:space="preserve"> treatment and acquisition of other land, and interests in land, that are necessary for construction; 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szCs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szCs w:val="24"/>
        </w:rPr>
      </w:pPr>
      <w:r>
        <w:rPr>
          <w:rFonts w:ascii="Times New Roman" w:hAnsi="Times New Roman"/>
          <w:sz w:val="24"/>
          <w:szCs w:val="24"/>
          <w:lang w:val="en-US" w:bidi="en-US" w:eastAsia="en-US"/>
        </w:rPr>
        <w:tab/>
        <w:tab/>
        <w:t xml:space="preserve">(e)  Prevent, abate, reduce, store, treat, separate, or dispose of </w:t>
      </w:r>
      <w:r>
        <w:rPr>
          <w:rFonts w:ascii="Times New Roman" w:hAnsi="Times New Roman"/>
          <w:sz w:val="24"/>
          <w:szCs w:val="24"/>
        </w:rPr>
        <w:t>municipal waste</w:t>
      </w:r>
      <w:r>
        <w:rPr>
          <w:rFonts w:ascii="Times New Roman" w:hAnsi="Times New Roman"/>
          <w:sz w:val="24"/>
          <w:szCs w:val="24"/>
          <w:lang w:val="en-US" w:bidi="en-US" w:eastAsia="en-US"/>
        </w:rPr>
        <w:t>,</w:t>
      </w:r>
      <w:r>
        <w:rPr>
          <w:rFonts w:ascii="Times New Roman" w:hAnsi="Times New Roman"/>
          <w:sz w:val="24"/>
          <w:szCs w:val="24"/>
        </w:rPr>
        <w:t xml:space="preserve"> industrial waste, </w:t>
      </w:r>
      <w:r>
        <w:rPr>
          <w:rFonts w:ascii="Times New Roman" w:hAnsi="Times New Roman"/>
          <w:sz w:val="24"/>
          <w:szCs w:val="24"/>
          <w:lang w:val="en-US" w:bidi="en-US" w:eastAsia="en-US"/>
        </w:rPr>
        <w:t xml:space="preserve">or </w:t>
      </w:r>
      <w:r>
        <w:rPr>
          <w:rFonts w:ascii="Times New Roman" w:hAnsi="Times New Roman"/>
          <w:sz w:val="24"/>
          <w:szCs w:val="24"/>
        </w:rPr>
        <w:t>waste in combined storm water and sanitary sewer systems;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szCs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szCs w:val="24"/>
        </w:rPr>
      </w:pPr>
      <w:r>
        <w:rPr>
          <w:rFonts w:ascii="Times New Roman" w:hAnsi="Times New Roman"/>
          <w:sz w:val="24"/>
          <w:szCs w:val="24"/>
        </w:rPr>
        <w:tab/>
        <w:t>(</w:t>
      </w:r>
      <w:r>
        <w:rPr>
          <w:rFonts w:ascii="Times New Roman" w:hAnsi="Times New Roman"/>
          <w:sz w:val="24"/>
          <w:szCs w:val="24"/>
          <w:lang w:val="en-US" w:bidi="en-US" w:eastAsia="en-US"/>
        </w:rPr>
        <w:t>21</w:t>
      </w:r>
      <w:r>
        <w:rPr>
          <w:rFonts w:ascii="Times New Roman" w:hAnsi="Times New Roman"/>
          <w:sz w:val="24"/>
          <w:szCs w:val="24"/>
        </w:rPr>
        <w:t xml:space="preserve">)  "Water quality grant," </w:t>
      </w:r>
      <w:r>
        <w:rPr>
          <w:rFonts w:ascii="Times New Roman" w:hAnsi="Times New Roman"/>
          <w:sz w:val="24"/>
          <w:szCs w:val="24"/>
          <w:lang w:val="en-US" w:bidi="en-US" w:eastAsia="en-US"/>
        </w:rPr>
        <w:t xml:space="preserve">a </w:t>
      </w:r>
      <w:r>
        <w:rPr>
          <w:rFonts w:ascii="Times New Roman" w:hAnsi="Times New Roman"/>
          <w:sz w:val="24"/>
          <w:szCs w:val="24"/>
        </w:rPr>
        <w:t>grant made by the board to eligible applicants for the purpose of providing assistance for projects eligible under the Act.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szCs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szCs w:val="24"/>
        </w:rPr>
      </w:pPr>
      <w:r>
        <w:rPr>
          <w:rFonts w:ascii="Times New Roman" w:hAnsi="Times New Roman"/>
          <w:sz w:val="24"/>
          <w:szCs w:val="24"/>
        </w:rPr>
        <w:tab/>
      </w:r>
      <w:r>
        <w:rPr>
          <w:rFonts w:ascii="Times New Roman" w:hAnsi="Times New Roman"/>
          <w:b w:val="1"/>
          <w:sz w:val="24"/>
          <w:szCs w:val="24"/>
        </w:rPr>
        <w:t>Source:</w:t>
      </w:r>
      <w:r>
        <w:rPr>
          <w:rFonts w:ascii="Times New Roman" w:hAnsi="Times New Roman"/>
          <w:sz w:val="24"/>
          <w:szCs w:val="24"/>
        </w:rPr>
        <w:t xml:space="preserve"> 15 SDR 20, effective August 7, 1988; 19 SDR 102, effective January 17, 1993; 21 SDR 97, effective November 28, 1994; 25 SDR 93, effective January 9, 1999; 28 SDR 4, effective July 22, 2001; 29 SDR 87, effective December 22, 2002; 30 SDR 170, effective May 10, 2004; 33 SDR 106, effective December 26, 2006; 36 SDR 208, effective June 28, 2010; 40 SDR 14, effective July 29, 2013; 41 SDR 173, effective May 11, 2015</w:t>
      </w:r>
      <w:r>
        <w:rPr>
          <w:rFonts w:ascii="Times New Roman" w:hAnsi="Times New Roman"/>
          <w:sz w:val="24"/>
        </w:rPr>
        <w:t>; SL 2021, ch 1, §§</w:t>
      </w:r>
      <w:r>
        <w:rPr>
          <w:rFonts w:ascii="Times New Roman" w:hAnsi="Times New Roman"/>
          <w:sz w:val="24"/>
          <w:lang w:val="en-US" w:bidi="en-US" w:eastAsia="en-US"/>
        </w:rPr>
        <w:t> </w:t>
      </w:r>
      <w:r>
        <w:rPr>
          <w:rFonts w:ascii="Times New Roman" w:hAnsi="Times New Roman"/>
          <w:sz w:val="24"/>
        </w:rPr>
        <w:t>8, 19, effective April 19, 2021</w:t>
      </w:r>
      <w:r>
        <w:rPr>
          <w:rFonts w:ascii="Times New Roman" w:hAnsi="Times New Roman"/>
          <w:sz w:val="24"/>
          <w:lang w:val="en-US" w:bidi="en-US" w:eastAsia="en-US"/>
        </w:rPr>
        <w:t>; 49 SDR 100, effective May 22, 2023</w:t>
      </w:r>
      <w:r>
        <w:rPr>
          <w:rFonts w:ascii="Times New Roman" w:hAnsi="Times New Roman"/>
          <w:sz w:val="24"/>
          <w:szCs w:val="24"/>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szCs w:val="24"/>
        </w:rPr>
      </w:pPr>
      <w:r>
        <w:rPr>
          <w:rFonts w:ascii="Times New Roman" w:hAnsi="Times New Roman"/>
          <w:sz w:val="24"/>
          <w:szCs w:val="24"/>
        </w:rPr>
        <w:tab/>
      </w:r>
      <w:r>
        <w:rPr>
          <w:rFonts w:ascii="Times New Roman" w:hAnsi="Times New Roman"/>
          <w:b w:val="1"/>
          <w:sz w:val="24"/>
          <w:szCs w:val="24"/>
        </w:rPr>
        <w:t>General Authority:</w:t>
      </w:r>
      <w:r>
        <w:rPr>
          <w:rFonts w:ascii="Times New Roman" w:hAnsi="Times New Roman"/>
          <w:sz w:val="24"/>
          <w:szCs w:val="24"/>
        </w:rPr>
        <w:t xml:space="preserve"> SDCL </w:t>
      </w:r>
      <w:r>
        <w:rPr>
          <w:rFonts w:ascii="Times New Roman" w:hAnsi="Times New Roman"/>
          <w:sz w:val="24"/>
          <w:szCs w:val="24"/>
          <w:lang w:val="en-US" w:bidi="en-US" w:eastAsia="en-US"/>
        </w:rPr>
        <w:t xml:space="preserve">46A-1-60.2, </w:t>
      </w:r>
      <w:r>
        <w:rPr>
          <w:rFonts w:ascii="Times New Roman" w:hAnsi="Times New Roman"/>
          <w:sz w:val="24"/>
          <w:szCs w:val="24"/>
        </w:rPr>
        <w:t>46A-1-60.3.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szCs w:val="24"/>
        </w:rPr>
      </w:pPr>
      <w:r>
        <w:rPr>
          <w:rFonts w:ascii="Times New Roman" w:hAnsi="Times New Roman"/>
          <w:sz w:val="24"/>
          <w:szCs w:val="24"/>
        </w:rPr>
        <w:tab/>
      </w:r>
      <w:r>
        <w:rPr>
          <w:rFonts w:ascii="Times New Roman" w:hAnsi="Times New Roman"/>
          <w:b w:val="1"/>
          <w:sz w:val="24"/>
          <w:szCs w:val="24"/>
        </w:rPr>
        <w:t>Law Implemented:</w:t>
      </w:r>
      <w:r>
        <w:rPr>
          <w:rFonts w:ascii="Times New Roman" w:hAnsi="Times New Roman"/>
          <w:sz w:val="24"/>
          <w:szCs w:val="24"/>
        </w:rPr>
        <w:t xml:space="preserve"> SDCL 46A-1-60.1 to 46A-1-60.3</w:t>
      </w:r>
      <w:r>
        <w:rPr>
          <w:rFonts w:ascii="Times New Roman" w:hAnsi="Times New Roman"/>
          <w:sz w:val="24"/>
          <w:szCs w:val="24"/>
          <w:lang w:val="en-US" w:bidi="en-US" w:eastAsia="en-US"/>
        </w:rPr>
        <w:t>, inclusive</w:t>
      </w:r>
      <w:r>
        <w:rPr>
          <w:rFonts w:ascii="Times New Roman" w:hAnsi="Times New Roman"/>
          <w:sz w:val="24"/>
          <w:szCs w:val="24"/>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szCs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szCs w:val="24"/>
        </w:rPr>
      </w:pPr>
      <w:r>
        <w:rPr>
          <w:rFonts w:ascii="Times New Roman" w:hAnsi="Times New Roman"/>
          <w:sz w:val="24"/>
          <w:szCs w:val="24"/>
        </w:rPr>
        <w:tab/>
      </w:r>
      <w:r>
        <w:rPr>
          <w:rFonts w:ascii="Times New Roman" w:hAnsi="Times New Roman"/>
          <w:b w:val="1"/>
          <w:sz w:val="24"/>
          <w:szCs w:val="24"/>
        </w:rPr>
        <w:t>References:</w:t>
      </w:r>
      <w:r>
        <w:rPr>
          <w:rFonts w:ascii="Times New Roman" w:hAnsi="Times New Roman"/>
          <w:sz w:val="24"/>
          <w:szCs w:val="24"/>
        </w:rPr>
        <w:t xml:space="preserve"> U.S. Census Bureau, American Community Survey, </w:t>
      </w:r>
      <w:r>
        <w:rPr>
          <w:rFonts w:ascii="Times New Roman" w:hAnsi="Times New Roman"/>
          <w:sz w:val="24"/>
          <w:szCs w:val="24"/>
          <w:lang w:val="en-US" w:bidi="en-US" w:eastAsia="en-US"/>
        </w:rPr>
        <w:t>DP03 Selected Economic Characteristics 2020: 5-Year Estimates Data Profiles</w:t>
      </w:r>
      <w:r>
        <w:rPr>
          <w:rFonts w:ascii="Times New Roman" w:hAnsi="Times New Roman"/>
          <w:sz w:val="24"/>
          <w:szCs w:val="24"/>
        </w:rPr>
        <w:t xml:space="preserve">. This is information available at no cost over the internet at </w:t>
      </w:r>
      <w:hyperlink xmlns:r="http://schemas.openxmlformats.org/officeDocument/2006/relationships" r:id="R2">
        <w:r>
          <w:rPr>
            <w:rFonts w:ascii="Times New Roman" w:hAnsi="Times New Roman"/>
            <w:color w:val="0000FF"/>
            <w:sz w:val="24"/>
            <w:szCs w:val="24"/>
            <w:u w:val="single"/>
          </w:rPr>
          <w:t>http://denr.sd.gov/documents/MedianHouseholdIncome.pdf</w:t>
        </w:r>
      </w:hyperlink>
      <w:r>
        <w:rPr>
          <w:rFonts w:ascii="Times New Roman" w:hAnsi="Times New Roman"/>
          <w:sz w:val="24"/>
          <w:szCs w:val="24"/>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szCs w:val="24"/>
        </w:rPr>
      </w:pPr>
    </w:p>
    <w:sectPr>
      <w:type w:val="nextPage"/>
      <w:pgMar w:left="1440" w:right="1440" w:top="1440" w:bottom="1440" w:header="720" w:footer="720" w:gutter="0"/>
      <w:cols w:equalWidth="1" w:space="72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splitPgBreakAndParaMark/>
    <w:compatSetting w:name="compatibilityMode" w:uri="http://schemas.microsoft.com/office/word" w:val="12"/>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0"/>
        <w:u w:val="none"/>
        <w:shd w:val="clear" w:color="auto" w:fill="auto"/>
        <w:vertAlign w:val="baseline"/>
        <w:lang w:val="en-US" w:bidi="ar-SA" w:eastAsia="en-US"/>
      </w:rPr>
    </w:rPrDefault>
    <w:pPrDefault>
      <w:pPr>
        <w:keepNext w:val="0"/>
        <w:keepLines w:val="0"/>
        <w:pageBreakBefore w:val="0"/>
        <w:widowControl w:val="1"/>
        <w:suppressLineNumbers w:val="0"/>
        <w:shd w:val="clear" w:fill="auto"/>
        <w:suppressAutoHyphens w:val="0"/>
        <w:spacing w:lineRule="auto" w:line="240" w:before="0" w:after="0" w:beforeAutospacing="0" w:afterAutospacing="0"/>
        <w:ind w:firstLine="0" w:left="0" w:right="0"/>
        <w:contextualSpacing w:val="0"/>
        <w:bidi w:val="0"/>
        <w:jc w:val="left"/>
        <w:outlineLvl w:val="9"/>
      </w:pPr>
    </w:pPrDefault>
  </w:docDefaults>
  <w:style w:type="paragraph" w:styleId="P0" w:default="1">
    <w:name w:val="Normal"/>
    <w:qFormat/>
    <w:pPr>
      <w:spacing w:lineRule="auto" w:line="276" w:after="200" w:beforeAutospacing="0" w:afterAutospacing="0"/>
    </w:pPr>
    <w:rPr>
      <w:sz w:val="22"/>
      <w:szCs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semiHidden/>
    <w:qFormat/>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numbering" w:styleId="N0">
    <w:name w:val="No List"/>
  </w:style>
</w:styles>
</file>

<file path=word/_rels/document.xml.rels>&#65279;<?xml version="1.0" encoding="utf-8"?><Relationships xmlns="http://schemas.openxmlformats.org/package/2006/relationships"><Relationship Id="R2" Type="http://schemas.openxmlformats.org/officeDocument/2006/relationships/hyperlink" Target="http://denr.sd.gov/documents/MedianHouseholdIncome.pdf" TargetMode="Externa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Pirnat, Marge</dc:creator>
  <dcterms:created xsi:type="dcterms:W3CDTF">2015-05-05T19:50:00Z</dcterms:created>
  <cp:lastModifiedBy>Kelly Thompson</cp:lastModifiedBy>
  <dcterms:modified xsi:type="dcterms:W3CDTF">2023-06-01T20:31:43Z</dcterms:modified>
  <cp:revision>25</cp:revision>
</cp:coreProperties>
</file>