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74:32:06:03.  Investigation and defense costs.</w:t>
      </w:r>
      <w:r>
        <w:rPr>
          <w:rFonts w:ascii="Times New Roman" w:hAnsi="Times New Roman"/>
          <w:sz w:val="24"/>
        </w:rPr>
        <w:t xml:space="preserve"> The secretary may investigate and settle any claim or suit. The obligation to defend and defense costs terminate if the reimbursement limit provided for in SDCL 34A-13-28 is met by judgments or settlements for compensatory damages or cleanup costs reimbursed under chapter 74:32:03.</w:t>
      </w:r>
    </w:p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62, effective </w:t>
      </w:r>
      <w:smartTag w:uri="urn:schemas-microsoft-com:office:smarttags" w:element="date">
        <w:smartTagPr>
          <w:attr w:name="Year" w:val="199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1991</w:t>
        </w:r>
      </w:smartTag>
      <w:r>
        <w:rPr>
          <w:rFonts w:ascii="Times New Roman" w:hAnsi="Times New Roman"/>
          <w:sz w:val="24"/>
        </w:rPr>
        <w:t xml:space="preserve">; 23 SDR 220, effective </w:t>
      </w:r>
      <w:smartTag w:uri="urn:schemas-microsoft-com:office:smarttags" w:element="date">
        <w:smartTagPr>
          <w:attr w:name="Year" w:val="1997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1997</w:t>
        </w:r>
      </w:smartTag>
      <w:r>
        <w:rPr>
          <w:rFonts w:ascii="Times New Roman" w:hAnsi="Times New Roman"/>
          <w:sz w:val="24"/>
        </w:rPr>
        <w:t>.</w:t>
      </w:r>
    </w:p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34A-13-16, 34A-13-40, 34A-13-42.</w:t>
      </w:r>
    </w:p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34A-13-28.</w:t>
      </w:r>
    </w:p>
    <w:p w:rsidR="00EE1692" w:rsidRDefault="00EE1692" w:rsidP="00354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1692" w:rsidSect="00EE16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5440F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E1692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0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2005-04-15T17:31:00Z</dcterms:created>
  <dcterms:modified xsi:type="dcterms:W3CDTF">2005-04-15T17:31:00Z</dcterms:modified>
</cp:coreProperties>
</file>