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CE122" Type="http://schemas.openxmlformats.org/officeDocument/2006/relationships/officeDocument" Target="/word/document.xml" /><Relationship Id="coreR9CE1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74:36:08:02.03.  Emission standards for benzene emissions from benzene transfer operations.</w:t>
      </w:r>
      <w:r>
        <w:rPr>
          <w:sz w:val="24"/>
        </w:rPr>
        <w:t xml:space="preserve"> The emission standards for benzene emissions from benzene transfer operations are those in 40 C.F.R. § 61, Subpart BB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2019-11-18T22:30:51Z</dcterms:created>
  <cp:lastModifiedBy>Rhonda Purkapile</cp:lastModifiedBy>
  <dcterms:modified xsi:type="dcterms:W3CDTF">2019-11-18T22:31:28Z</dcterms:modified>
  <cp:revision>2</cp:revision>
</cp:coreProperties>
</file>