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45F63A" Type="http://schemas.openxmlformats.org/officeDocument/2006/relationships/officeDocument" Target="/word/document.xml" /><Relationship Id="coreR3E45F63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 w:val="1"/>
          <w:sz w:val="24"/>
        </w:rPr>
        <w:t>74:36:08:71.  National emission standards for non-gasoline organic liquids distribution.</w:t>
      </w:r>
      <w:r>
        <w:rPr>
          <w:sz w:val="24"/>
        </w:rPr>
        <w:t xml:space="preserve"> The national emission standards for non-gasoline organic liquids distribution are those in 40 C.F.R. § 63, Subpart EEEE (July 1, 201</w:t>
      </w:r>
      <w:r>
        <w:rPr>
          <w:sz w:val="24"/>
          <w:lang w:val="en-US" w:bidi="en-US" w:eastAsia="en-US"/>
        </w:rPr>
        <w:t>8</w:t>
      </w:r>
      <w:r>
        <w:rPr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33 SDR 217, effective June 13, 2007;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2019-11-19T15:41:42Z</dcterms:created>
  <cp:lastModifiedBy>Rhonda Purkapile</cp:lastModifiedBy>
  <dcterms:modified xsi:type="dcterms:W3CDTF">2019-11-19T15:42:12Z</dcterms:modified>
  <cp:revision>2</cp:revision>
</cp:coreProperties>
</file>