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DEPARTMENT OF </w:t>
      </w:r>
      <w:r>
        <w:rPr>
          <w:rFonts w:ascii="Times New Roman" w:hAnsi="Times New Roman"/>
          <w:sz w:val="24"/>
          <w:lang w:val="en-US" w:bidi="en-US" w:eastAsia="en-US"/>
        </w:rPr>
        <w:t>AGRICULTURE</w:t>
      </w:r>
      <w:r>
        <w:rPr>
          <w:rFonts w:ascii="Times New Roman" w:hAnsi="Times New Roman"/>
          <w:sz w:val="24"/>
        </w:rPr>
        <w:t xml:space="preserve"> AND NATURAL RESOURCES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WATER POLLUTION CONTROL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TOTAL AMMONIA CRITERIA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74:51:01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SEE: §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74:51:01:22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Effective November 14, 1980; transferred from Chapter 74:03:02, Appendix A, July 1, 1996; transferred from Chapter 74:51:01, Appendix C, 24 SDR 10, effective July 20, 1997; 31 SDR 29, effective September 13, 2004; 35 SDR 253, effective May 12, 2009</w:t>
      </w:r>
      <w:r>
        <w:rPr>
          <w:rFonts w:ascii="Times New Roman" w:hAnsi="Times New Roman"/>
          <w:sz w:val="24"/>
          <w:lang w:val="en-US" w:bidi="en-US" w:eastAsia="en-US"/>
        </w:rPr>
        <w:t>; 47 SDR 110, effective April 27,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caps w:val="1"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 w:val="1"/>
          <w:caps w:val="1"/>
          <w:sz w:val="24"/>
          <w:szCs w:val="24"/>
        </w:rPr>
        <w:t>APPENDIX A to Chapter 74:51:01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198" w:type="dxa"/>
        <w:tblBorders>
          <w:top w:val="double" w:sz="4" w:space="0" w:shadow="0" w:frame="0" w:color="auto"/>
          <w:left w:val="double" w:sz="4" w:space="0" w:shadow="0" w:frame="0" w:color="auto"/>
          <w:bottom w:val="double" w:sz="4" w:space="0" w:shadow="0" w:frame="0" w:color="auto"/>
          <w:right w:val="double" w:sz="4" w:space="0" w:shadow="0" w:frame="0" w:color="auto"/>
          <w:insideH w:val="none" w:sz="0" w:space="0" w:shadow="0" w:frame="0" w:color="auto"/>
          <w:insideV w:val="none" w:sz="0" w:space="0" w:shadow="0" w:frame="0" w:color="auto"/>
        </w:tblBorders>
        <w:tblLook w:val="01E0"/>
      </w:tblPr>
      <w:tblGrid/>
      <w:tr>
        <w:tc>
          <w:tcPr>
            <w:tcW w:w="9450" w:type="dxa"/>
            <w:tcBorders>
              <w:top w:val="double" w:sz="4" w:space="0" w:shadow="0" w:frame="0"/>
              <w:bottom w:val="single" w:sz="4" w:space="0" w:shadow="0" w:frame="0"/>
            </w:tcBorders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Equation 1:  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>Ac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>ute criterion for</w:t>
            </w:r>
            <w:r>
              <w:rPr>
                <w:rFonts w:ascii="Times New Roman" w:hAnsi="Times New Roman"/>
                <w:sz w:val="24"/>
              </w:rPr>
              <w:t xml:space="preserve"> waters where salmonid fish are present.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MIN(((0.275/(1+10</w:t>
            </w:r>
            <w:r>
              <w:rPr>
                <w:rFonts w:ascii="Times New Roman" w:hAnsi="Times New Roman"/>
                <w:sz w:val="24"/>
                <w:vertAlign w:val="superscript"/>
              </w:rPr>
              <w:t>7.204-pH</w:t>
            </w:r>
            <w:r>
              <w:rPr>
                <w:rFonts w:ascii="Times New Roman" w:hAnsi="Times New Roman"/>
                <w:sz w:val="24"/>
              </w:rPr>
              <w:t>))+(39/(1+10</w:t>
            </w:r>
            <w:r>
              <w:rPr>
                <w:rFonts w:ascii="Times New Roman" w:hAnsi="Times New Roman"/>
                <w:sz w:val="24"/>
                <w:vertAlign w:val="superscript"/>
              </w:rPr>
              <w:t>pH-7.204</w:t>
            </w:r>
            <w:r>
              <w:rPr>
                <w:rFonts w:ascii="Times New Roman" w:hAnsi="Times New Roman"/>
                <w:sz w:val="24"/>
              </w:rPr>
              <w:t>))),(0.7249*((0.0114/(1+10^</w:t>
            </w:r>
            <w:r>
              <w:rPr>
                <w:rFonts w:ascii="Times New Roman" w:hAnsi="Times New Roman"/>
                <w:sz w:val="24"/>
                <w:vertAlign w:val="superscript"/>
              </w:rPr>
              <w:t>7.204-pH</w:t>
            </w:r>
            <w:r>
              <w:rPr>
                <w:rFonts w:ascii="Times New Roman" w:hAnsi="Times New Roman"/>
                <w:sz w:val="24"/>
              </w:rPr>
              <w:t>))+(1.6181/(1+10^</w:t>
            </w:r>
            <w:r>
              <w:rPr>
                <w:rFonts w:ascii="Times New Roman" w:hAnsi="Times New Roman"/>
                <w:sz w:val="24"/>
                <w:vertAlign w:val="superscript"/>
              </w:rPr>
              <w:t>pH-7.204</w:t>
            </w:r>
            <w:r>
              <w:rPr>
                <w:rFonts w:ascii="Times New Roman" w:hAnsi="Times New Roman"/>
                <w:sz w:val="24"/>
              </w:rPr>
              <w:t>)))*(23.12*10^</w:t>
            </w:r>
            <w:r>
              <w:rPr>
                <w:rFonts w:ascii="Times New Roman" w:hAnsi="Times New Roman"/>
                <w:sz w:val="24"/>
                <w:vertAlign w:val="superscript"/>
              </w:rPr>
              <w:t>0.036*(20-T)</w:t>
            </w:r>
            <w:r>
              <w:rPr>
                <w:rFonts w:ascii="Times New Roman" w:hAnsi="Times New Roman"/>
                <w:sz w:val="24"/>
              </w:rPr>
              <w:t>)))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450" w:type="dxa"/>
            <w:tcBorders>
              <w:top w:val="single" w:sz="4" w:space="0" w:shadow="0" w:frame="0"/>
              <w:bottom w:val="double" w:sz="4" w:space="0" w:shadow="0" w:frame="0"/>
            </w:tcBorders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 = use either the value of (((0.275/(1+10</w:t>
            </w:r>
            <w:r>
              <w:rPr>
                <w:rFonts w:ascii="Times New Roman" w:hAnsi="Times New Roman"/>
                <w:sz w:val="24"/>
                <w:vertAlign w:val="superscript"/>
              </w:rPr>
              <w:t>7.204-pH</w:t>
            </w:r>
            <w:r>
              <w:rPr>
                <w:rFonts w:ascii="Times New Roman" w:hAnsi="Times New Roman"/>
                <w:sz w:val="24"/>
              </w:rPr>
              <w:t>))+(39/(1+10</w:t>
            </w:r>
            <w:r>
              <w:rPr>
                <w:rFonts w:ascii="Times New Roman" w:hAnsi="Times New Roman"/>
                <w:sz w:val="24"/>
                <w:vertAlign w:val="superscript"/>
              </w:rPr>
              <w:t>pH-7.204</w:t>
            </w:r>
            <w:r>
              <w:rPr>
                <w:rFonts w:ascii="Times New Roman" w:hAnsi="Times New Roman"/>
                <w:sz w:val="24"/>
              </w:rPr>
              <w:t>))) or the value of (0.7249*((0.0114/(1+10^</w:t>
            </w:r>
            <w:r>
              <w:rPr>
                <w:rFonts w:ascii="Times New Roman" w:hAnsi="Times New Roman"/>
                <w:sz w:val="24"/>
                <w:vertAlign w:val="superscript"/>
              </w:rPr>
              <w:t>7.204-pH</w:t>
            </w:r>
            <w:r>
              <w:rPr>
                <w:rFonts w:ascii="Times New Roman" w:hAnsi="Times New Roman"/>
                <w:sz w:val="24"/>
              </w:rPr>
              <w:t>))+(1.6181/(1+10^</w:t>
            </w:r>
            <w:r>
              <w:rPr>
                <w:rFonts w:ascii="Times New Roman" w:hAnsi="Times New Roman"/>
                <w:sz w:val="24"/>
                <w:vertAlign w:val="superscript"/>
              </w:rPr>
              <w:t>pH-7.204</w:t>
            </w:r>
            <w:r>
              <w:rPr>
                <w:rFonts w:ascii="Times New Roman" w:hAnsi="Times New Roman"/>
                <w:sz w:val="24"/>
              </w:rPr>
              <w:t>)))*(23.12*10^</w:t>
            </w:r>
            <w:r>
              <w:rPr>
                <w:rFonts w:ascii="Times New Roman" w:hAnsi="Times New Roman"/>
                <w:sz w:val="24"/>
                <w:vertAlign w:val="superscript"/>
              </w:rPr>
              <w:t>0.036*(20-T)</w:t>
            </w:r>
            <w:r>
              <w:rPr>
                <w:rFonts w:ascii="Times New Roman" w:hAnsi="Times New Roman"/>
                <w:sz w:val="24"/>
              </w:rPr>
              <w:t>))), whichever is the smaller value.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 = the water temperature of the sample in degrees Centigrade.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 = the pH of the water quality sample in standard units.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198" w:type="dxa"/>
        <w:tblBorders>
          <w:top w:val="double" w:sz="4" w:space="0" w:shadow="0" w:frame="0" w:color="auto"/>
          <w:left w:val="double" w:sz="4" w:space="0" w:shadow="0" w:frame="0" w:color="auto"/>
          <w:bottom w:val="double" w:sz="4" w:space="0" w:shadow="0" w:frame="0" w:color="auto"/>
          <w:right w:val="double" w:sz="4" w:space="0" w:shadow="0" w:frame="0" w:color="auto"/>
          <w:insideH w:val="none" w:sz="0" w:space="0" w:shadow="0" w:frame="0" w:color="auto"/>
          <w:insideV w:val="none" w:sz="0" w:space="0" w:shadow="0" w:frame="0" w:color="auto"/>
        </w:tblBorders>
        <w:tblLook w:val="01E0"/>
      </w:tblPr>
      <w:tblGrid/>
      <w:tr>
        <w:tc>
          <w:tcPr>
            <w:tcW w:w="9450" w:type="dxa"/>
            <w:tcBorders>
              <w:top w:val="double" w:sz="4" w:space="0" w:shadow="0" w:frame="0"/>
              <w:bottom w:val="single" w:sz="4" w:space="0" w:shadow="0" w:frame="0"/>
            </w:tcBorders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Equation 2:  </w:t>
            </w:r>
            <w:r>
              <w:rPr>
                <w:rFonts w:ascii="Times New Roman" w:hAnsi="Times New Roman"/>
                <w:sz w:val="24"/>
                <w:szCs w:val="24"/>
                <w:lang w:val="en-US" w:bidi="en-US" w:eastAsia="en-US"/>
              </w:rPr>
              <w:t>Acute criterion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waters where salmonid fish are not present.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0.7249*(((0.0114/(1+10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7.204-pH</w:t>
            </w:r>
            <w:r>
              <w:rPr>
                <w:rFonts w:ascii="Times New Roman" w:hAnsi="Times New Roman"/>
                <w:sz w:val="24"/>
                <w:szCs w:val="24"/>
              </w:rPr>
              <w:t>))+(1.6181/(1+10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pH-7.204</w:t>
            </w:r>
            <w:r>
              <w:rPr>
                <w:rFonts w:ascii="Times New Roman" w:hAnsi="Times New Roman"/>
                <w:sz w:val="24"/>
                <w:szCs w:val="24"/>
              </w:rPr>
              <w:t>)))*MIN(51.93,23.12*10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0.036*(20-T)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9450" w:type="dxa"/>
            <w:tcBorders>
              <w:top w:val="single" w:sz="4" w:space="0" w:shadow="0" w:frame="0"/>
              <w:bottom w:val="double" w:sz="4" w:space="0" w:shadow="0" w:frame="0"/>
            </w:tcBorders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 = use either 51.93 or the value of 23.12*10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0.036*(20-T)</w:t>
            </w:r>
            <w:r>
              <w:rPr>
                <w:rFonts w:ascii="Times New Roman" w:hAnsi="Times New Roman"/>
                <w:sz w:val="24"/>
                <w:szCs w:val="24"/>
              </w:rPr>
              <w:t>, whichever is the smaller value.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 = the water temperature of the sample in degrees Centigrade.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 - the pH of the water quality sample in standard units.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198" w:type="dxa"/>
        <w:tblBorders>
          <w:top w:val="double" w:sz="4" w:space="0" w:shadow="0" w:frame="0" w:color="auto"/>
          <w:left w:val="double" w:sz="4" w:space="0" w:shadow="0" w:frame="0" w:color="auto"/>
          <w:bottom w:val="double" w:sz="4" w:space="0" w:shadow="0" w:frame="0" w:color="auto"/>
          <w:right w:val="double" w:sz="4" w:space="0" w:shadow="0" w:frame="0" w:color="auto"/>
          <w:insideH w:val="none" w:sz="0" w:space="0" w:shadow="0" w:frame="0" w:color="auto"/>
          <w:insideV w:val="none" w:sz="0" w:space="0" w:shadow="0" w:frame="0" w:color="auto"/>
        </w:tblBorders>
        <w:tblLook w:val="01E0"/>
      </w:tblPr>
      <w:tblGrid/>
      <w:tr>
        <w:tc>
          <w:tcPr>
            <w:tcW w:w="9450" w:type="dxa"/>
            <w:tcBorders>
              <w:top w:val="double" w:sz="4" w:space="0" w:shadow="0" w:frame="0"/>
              <w:bottom w:val="single" w:sz="4" w:space="0" w:shadow="0" w:frame="0"/>
            </w:tcBorders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Equation 3:  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>Chronic criterion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0.8876*(((0.0278/(1+10</w:t>
            </w:r>
            <w:r>
              <w:rPr>
                <w:rFonts w:ascii="Times New Roman" w:hAnsi="Times New Roman"/>
                <w:sz w:val="24"/>
                <w:vertAlign w:val="superscript"/>
              </w:rPr>
              <w:t>7.688-pH</w:t>
            </w:r>
            <w:r>
              <w:rPr>
                <w:rFonts w:ascii="Times New Roman" w:hAnsi="Times New Roman"/>
                <w:sz w:val="24"/>
              </w:rPr>
              <w:t>))+(1.1994/(1+10</w:t>
            </w:r>
            <w:r>
              <w:rPr>
                <w:rFonts w:ascii="Times New Roman" w:hAnsi="Times New Roman"/>
                <w:sz w:val="24"/>
                <w:vertAlign w:val="superscript"/>
              </w:rPr>
              <w:t>pH-7.688</w:t>
            </w:r>
            <w:r>
              <w:rPr>
                <w:rFonts w:ascii="Times New Roman" w:hAnsi="Times New Roman"/>
                <w:sz w:val="24"/>
              </w:rPr>
              <w:t>)))*(2.126*10</w:t>
            </w:r>
            <w:r>
              <w:rPr>
                <w:rFonts w:ascii="Times New Roman" w:hAnsi="Times New Roman"/>
                <w:sz w:val="24"/>
                <w:vertAlign w:val="superscript"/>
              </w:rPr>
              <w:t>0.028*(20-MAX(T,7)</w:t>
            </w:r>
            <w:r>
              <w:rPr>
                <w:rFonts w:ascii="Times New Roman" w:hAnsi="Times New Roman"/>
                <w:sz w:val="24"/>
              </w:rPr>
              <w:t>))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450" w:type="dxa"/>
            <w:tcBorders>
              <w:top w:val="single" w:sz="4" w:space="0" w:shadow="0" w:frame="0"/>
              <w:bottom w:val="double" w:sz="4" w:space="0" w:shadow="0" w:frame="0"/>
            </w:tcBorders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 = the water temperature of the sample in degrees Centigrade.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 - the pH of the water quality sample in standard units.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MAX = use either the water temperature (T) for the sample, or 7, whichever is the greater value.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Reference:</w:t>
      </w:r>
      <w:r>
        <w:rPr>
          <w:rFonts w:ascii="Times New Roman" w:hAnsi="Times New Roman"/>
          <w:sz w:val="24"/>
        </w:rPr>
        <w:t>  Aquatic Life Ambient Water Quality Criteria for Ammonia – Freshwater 2013, EPA 822-R-13-001, April 2013.</w:t>
      </w:r>
    </w:p>
    <w:p>
      <w:r>
        <w:rPr>
          <w:rFonts w:ascii="Times New Roman" w:hAnsi="Times New Roman"/>
          <w:sz w:val="24"/>
        </w:rPr>
        <w:br w:type="page"/>
      </w: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2009-04-28T17:05:00Z</dcterms:created>
  <cp:lastModifiedBy>Rhonda Purkapile</cp:lastModifiedBy>
  <dcterms:modified xsi:type="dcterms:W3CDTF">2021-05-05T18:53:06Z</dcterms:modified>
  <cp:revision>9</cp:revision>
  <dc:title>DEPARTMENT OF ENVIRONMENT AND NATURAL RESOURCES</dc:title>
</cp:coreProperties>
</file>