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74:51:01:12.  Biological integrity of waters.</w:t>
      </w:r>
      <w:r>
        <w:rPr>
          <w:rFonts w:ascii="Times New Roman" w:hAnsi="Times New Roman"/>
          <w:sz w:val="24"/>
        </w:rPr>
        <w:t xml:space="preserve"> All waters of the state must be free from substances, whether attributable to human-induced point source discharges or nonpoint source activities, in concentrations or combinations which will adversely impact the structure and function of indigenous or intentionally introduced aquatic communities.</w:t>
      </w: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111, effective </w:t>
      </w:r>
      <w:smartTag w:uri="urn:schemas-microsoft-com:office:smarttags" w:element="date">
        <w:smartTagPr>
          <w:attr w:name="Year" w:val="1993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1993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03:02:59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Introduction of nonnative fish into state waters prohibited, § 41: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07:01:11</w:t>
        </w:r>
      </w:smartTag>
      <w:r>
        <w:rPr>
          <w:rFonts w:ascii="Times New Roman" w:hAnsi="Times New Roman"/>
          <w:sz w:val="24"/>
        </w:rPr>
        <w:t>.</w:t>
      </w:r>
    </w:p>
    <w:p w:rsidR="00C71BD6" w:rsidRDefault="00C71BD6" w:rsidP="008375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1BD6" w:rsidSect="00C71B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3754E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71BD6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4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2005-04-18T17:37:00Z</dcterms:created>
  <dcterms:modified xsi:type="dcterms:W3CDTF">2005-04-18T17:37:00Z</dcterms:modified>
</cp:coreProperties>
</file>