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74:53:01:14.  On-site wastewater treatment system design and type considerations.</w:t>
      </w:r>
      <w:r>
        <w:rPr>
          <w:rFonts w:ascii="Times New Roman" w:hAnsi="Times New Roman"/>
          <w:sz w:val="24"/>
        </w:rPr>
        <w:t xml:space="preserve"> The designer of each on-site wastewater treatment system must take into consideration the distance from any producing water well to the proposed septic tank and absorption system, the slope of the site and the gradient from any producing water well to the wastewater treatment system, the seasonal high groundwater table, the groundwater table, the percolation rate, the lot size, and the type and maximum daily wastewater flow to be treated by the wastewater treatment system.</w:t>
      </w:r>
    </w:p>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03:01:51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w:t>
      </w:r>
    </w:p>
    <w:p w:rsidR="00DD0183" w:rsidRDefault="00DD0183" w:rsidP="00593D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D0183" w:rsidSect="00DD018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93D4F"/>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0183"/>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4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116</Words>
  <Characters>663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2005-04-18T19:45:00Z</dcterms:created>
  <dcterms:modified xsi:type="dcterms:W3CDTF">2005-04-18T19:45:00Z</dcterms:modified>
</cp:coreProperties>
</file>