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8E" w:rsidRDefault="0067748E" w:rsidP="007374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74:53:01:40.  Requirements for unconventional systems.</w:t>
      </w:r>
      <w:r>
        <w:rPr>
          <w:rFonts w:ascii="Times New Roman" w:hAnsi="Times New Roman"/>
          <w:sz w:val="24"/>
        </w:rPr>
        <w:t xml:space="preserve"> Unconventional systems, such as portable and nonportable chemical, composting, incinerating, recirculating, watersaving, or other innovative commercially manufactured toilets, shall be sized, installed, operated, and maintained in accordance with the manufacturer's specifications. When vents are required, they shall be of durable, corrosion-resistant material installed in accordance with the South Dakota state plumbing code, chapter 20:54:12. The units shall have receptacles of smooth, durable, impervious material that are resistant to chemicals and can be easily cleaned. All portable units shall be designed to receive and contain the wastes deposited in them and shall be located and maintained in a manner that will not create a nuisance condition. Waste material from unconventional system units shall be disposed of in vault privies, holding tanks, or in accordance with § 74:53:</w:t>
      </w:r>
      <w:smartTag w:uri="urn:schemas-microsoft-com:office:smarttags" w:element="time">
        <w:smartTagPr>
          <w:attr w:name="Minute" w:val="41"/>
          <w:attr w:name="Hour" w:val="13"/>
        </w:smartTagPr>
        <w:r>
          <w:rPr>
            <w:rFonts w:ascii="Times New Roman" w:hAnsi="Times New Roman"/>
            <w:sz w:val="24"/>
          </w:rPr>
          <w:t>01:41</w:t>
        </w:r>
      </w:smartTag>
      <w:r>
        <w:rPr>
          <w:rFonts w:ascii="Times New Roman" w:hAnsi="Times New Roman"/>
          <w:sz w:val="24"/>
        </w:rPr>
        <w:t>. Systems employing new technology are considered experimental systems, and their design shall have provisions for a back-up system to be installed if the proposed system, once installed, is not functioning properly or is otherwise creating a hazard to the public health. Applications for temporary approval of experimental systems for demonstration purposes shall be accompanied with documentation of reliability and applicability in full-scale operations and provided with written guarantee for service, component parts, or replacement provided by the manufacturer.</w:t>
      </w:r>
    </w:p>
    <w:p w:rsidR="0067748E" w:rsidRDefault="0067748E" w:rsidP="007374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7748E" w:rsidRDefault="0067748E" w:rsidP="007374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74:03:01:77,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67748E" w:rsidRDefault="0067748E" w:rsidP="007374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67748E" w:rsidRDefault="0067748E" w:rsidP="007374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67748E" w:rsidRDefault="0067748E" w:rsidP="007374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7748E" w:rsidSect="0067748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67748E"/>
    <w:rsid w:val="00707299"/>
    <w:rsid w:val="0071626D"/>
    <w:rsid w:val="0073748E"/>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8E"/>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257</Words>
  <Characters>1471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2005-04-18T19:49:00Z</dcterms:created>
  <dcterms:modified xsi:type="dcterms:W3CDTF">2005-04-18T19:49:00Z</dcterms:modified>
</cp:coreProperties>
</file>