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74:53:01:43.  Protection of potable water supply.</w:t>
      </w:r>
      <w:r>
        <w:rPr>
          <w:rFonts w:ascii="Times New Roman" w:hAnsi="Times New Roman"/>
          <w:sz w:val="24"/>
        </w:rPr>
        <w:t xml:space="preserve"> No connection may be made at any time between a tap or outlet furnishing potable water on any premises and a container or equipment holding wastewater by any means other than an open connection or back siphonage protection.</w:t>
      </w:r>
    </w:p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74:03:01:80,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34A-2-20.</w:t>
      </w:r>
    </w:p>
    <w:p w:rsidR="00CD665D" w:rsidRDefault="00CD665D" w:rsidP="00EC14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D665D" w:rsidSect="00CD66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665D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C14D9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D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2005-04-18T19:49:00Z</dcterms:created>
  <dcterms:modified xsi:type="dcterms:W3CDTF">2005-04-18T19:49:00Z</dcterms:modified>
</cp:coreProperties>
</file>