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74:53:01:44.  Variances.</w:t>
      </w:r>
      <w:r>
        <w:rPr>
          <w:rFonts w:ascii="Times New Roman" w:hAnsi="Times New Roman"/>
          <w:sz w:val="24"/>
        </w:rPr>
        <w:t xml:space="preserve"> Variances to these rules may be granted by the secretary or the secretary's authorized designee provided adequate documentation is provided to justify the need for the deviation and conditions are such that it will not cause a violation of any existing water quality standard, cause a health hazard, or create a nuisance.</w:t>
      </w:r>
    </w:p>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74:03:01:81,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34A-2-21.</w:t>
      </w:r>
    </w:p>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Water Quality Standards, chs 74:51:01 to 74:51:03, inclusive.</w:t>
      </w:r>
    </w:p>
    <w:p w:rsidR="00F14A2D" w:rsidRDefault="00F14A2D" w:rsidP="00DD29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14A2D" w:rsidSect="00F14A2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2983"/>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14A2D"/>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83"/>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2005-04-18T19:49:00Z</dcterms:created>
  <dcterms:modified xsi:type="dcterms:W3CDTF">2005-04-18T19:49:00Z</dcterms:modified>
</cp:coreProperties>
</file>